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1B2E" w14:textId="318145E4" w:rsidR="009655DB" w:rsidRPr="00037164" w:rsidRDefault="009655DB" w:rsidP="006B2296">
      <w:pPr>
        <w:pBdr>
          <w:bottom w:val="single" w:sz="4" w:space="1" w:color="auto"/>
        </w:pBdr>
        <w:tabs>
          <w:tab w:val="left" w:pos="11064"/>
        </w:tabs>
        <w:ind w:right="656"/>
        <w:jc w:val="both"/>
        <w:rPr>
          <w:b/>
          <w:bCs/>
          <w:sz w:val="28"/>
          <w:szCs w:val="28"/>
        </w:rPr>
      </w:pPr>
      <w:r w:rsidRPr="009655DB">
        <w:rPr>
          <w:b/>
          <w:bCs/>
          <w:sz w:val="60"/>
          <w:szCs w:val="60"/>
        </w:rPr>
        <w:t>C</w:t>
      </w:r>
      <w:r w:rsidR="00414BF2">
        <w:rPr>
          <w:b/>
          <w:bCs/>
          <w:sz w:val="60"/>
          <w:szCs w:val="60"/>
        </w:rPr>
        <w:t xml:space="preserve">YCLING </w:t>
      </w:r>
      <w:r w:rsidRPr="009655DB">
        <w:rPr>
          <w:b/>
          <w:bCs/>
          <w:sz w:val="60"/>
          <w:szCs w:val="60"/>
        </w:rPr>
        <w:t xml:space="preserve">NZ TRANSFORMATION </w:t>
      </w:r>
      <w:r w:rsidRPr="00414BF2">
        <w:rPr>
          <w:b/>
          <w:bCs/>
          <w:sz w:val="60"/>
          <w:szCs w:val="60"/>
        </w:rPr>
        <w:t xml:space="preserve">ACTION PLAN </w:t>
      </w:r>
      <w:r w:rsidRPr="009655DB">
        <w:rPr>
          <w:b/>
          <w:bCs/>
          <w:sz w:val="60"/>
          <w:szCs w:val="60"/>
        </w:rPr>
        <w:t>2024</w:t>
      </w:r>
    </w:p>
    <w:p w14:paraId="1D762AB0" w14:textId="77777777" w:rsidR="003D7D23" w:rsidRDefault="003D7D23" w:rsidP="003D7D23">
      <w:pPr>
        <w:pStyle w:val="NoSpacing"/>
        <w:rPr>
          <w:b/>
          <w:bCs/>
          <w:sz w:val="32"/>
          <w:szCs w:val="32"/>
        </w:rPr>
      </w:pPr>
    </w:p>
    <w:p w14:paraId="476411F2" w14:textId="0FF74DF3" w:rsidR="00B57D1A" w:rsidRPr="003D7D23" w:rsidRDefault="00875543" w:rsidP="003D7D23">
      <w:pPr>
        <w:pStyle w:val="NoSpacing"/>
        <w:rPr>
          <w:b/>
          <w:bCs/>
          <w:sz w:val="32"/>
          <w:szCs w:val="32"/>
        </w:rPr>
      </w:pPr>
      <w:r w:rsidRPr="003D7D23">
        <w:rPr>
          <w:b/>
          <w:bCs/>
          <w:sz w:val="32"/>
          <w:szCs w:val="32"/>
        </w:rPr>
        <w:t>C</w:t>
      </w:r>
      <w:r w:rsidR="00B57D1A" w:rsidRPr="003D7D23">
        <w:rPr>
          <w:b/>
          <w:bCs/>
          <w:sz w:val="32"/>
          <w:szCs w:val="32"/>
        </w:rPr>
        <w:t>ontents:</w:t>
      </w:r>
    </w:p>
    <w:tbl>
      <w:tblPr>
        <w:tblW w:w="14763" w:type="dxa"/>
        <w:tblLook w:val="04A0" w:firstRow="1" w:lastRow="0" w:firstColumn="1" w:lastColumn="0" w:noHBand="0" w:noVBand="1"/>
      </w:tblPr>
      <w:tblGrid>
        <w:gridCol w:w="1667"/>
        <w:gridCol w:w="6948"/>
        <w:gridCol w:w="4481"/>
        <w:gridCol w:w="1667"/>
      </w:tblGrid>
      <w:tr w:rsidR="00B57D1A" w:rsidRPr="00B57D1A" w14:paraId="144E18C9" w14:textId="77777777" w:rsidTr="00B57D1A">
        <w:trPr>
          <w:trHeight w:val="506"/>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128C" w14:textId="77777777" w:rsidR="00B57D1A" w:rsidRPr="00B57D1A" w:rsidRDefault="00B57D1A" w:rsidP="00B57D1A">
            <w:pPr>
              <w:spacing w:after="0" w:line="240" w:lineRule="auto"/>
              <w:rPr>
                <w:rFonts w:ascii="Calibri" w:hAnsi="Calibri" w:cs="Calibri"/>
                <w:b/>
                <w:bCs/>
                <w:color w:val="000000"/>
                <w:lang w:eastAsia="en-NZ"/>
              </w:rPr>
            </w:pPr>
            <w:r w:rsidRPr="00B57D1A">
              <w:rPr>
                <w:rFonts w:ascii="Calibri" w:hAnsi="Calibri" w:cs="Calibri"/>
                <w:b/>
                <w:bCs/>
                <w:color w:val="000000"/>
                <w:lang w:eastAsia="en-NZ"/>
              </w:rPr>
              <w:t>#</w:t>
            </w:r>
          </w:p>
        </w:tc>
        <w:tc>
          <w:tcPr>
            <w:tcW w:w="6948" w:type="dxa"/>
            <w:tcBorders>
              <w:top w:val="single" w:sz="4" w:space="0" w:color="auto"/>
              <w:left w:val="nil"/>
              <w:bottom w:val="single" w:sz="4" w:space="0" w:color="auto"/>
              <w:right w:val="single" w:sz="4" w:space="0" w:color="auto"/>
            </w:tcBorders>
            <w:shd w:val="clear" w:color="auto" w:fill="auto"/>
            <w:noWrap/>
            <w:vAlign w:val="center"/>
            <w:hideMark/>
          </w:tcPr>
          <w:p w14:paraId="45E74B5E" w14:textId="77777777" w:rsidR="00B57D1A" w:rsidRPr="00B57D1A" w:rsidRDefault="00B57D1A" w:rsidP="00B57D1A">
            <w:pPr>
              <w:spacing w:after="0" w:line="240" w:lineRule="auto"/>
              <w:rPr>
                <w:rFonts w:ascii="Calibri" w:hAnsi="Calibri" w:cs="Calibri"/>
                <w:b/>
                <w:bCs/>
                <w:color w:val="000000"/>
                <w:lang w:eastAsia="en-NZ"/>
              </w:rPr>
            </w:pPr>
            <w:r w:rsidRPr="00B57D1A">
              <w:rPr>
                <w:rFonts w:ascii="Calibri" w:hAnsi="Calibri" w:cs="Calibri"/>
                <w:b/>
                <w:bCs/>
                <w:color w:val="000000"/>
                <w:lang w:eastAsia="en-NZ"/>
              </w:rPr>
              <w:t>13 Focus Areas of CNZ Action</w:t>
            </w:r>
          </w:p>
        </w:tc>
        <w:tc>
          <w:tcPr>
            <w:tcW w:w="4481" w:type="dxa"/>
            <w:tcBorders>
              <w:top w:val="single" w:sz="4" w:space="0" w:color="auto"/>
              <w:left w:val="nil"/>
              <w:bottom w:val="single" w:sz="4" w:space="0" w:color="auto"/>
              <w:right w:val="single" w:sz="4" w:space="0" w:color="auto"/>
            </w:tcBorders>
            <w:shd w:val="clear" w:color="auto" w:fill="auto"/>
            <w:noWrap/>
            <w:vAlign w:val="center"/>
            <w:hideMark/>
          </w:tcPr>
          <w:p w14:paraId="55432C10" w14:textId="77777777" w:rsidR="00B57D1A" w:rsidRPr="00B57D1A" w:rsidRDefault="00B57D1A" w:rsidP="00B57D1A">
            <w:pPr>
              <w:spacing w:after="0" w:line="240" w:lineRule="auto"/>
              <w:rPr>
                <w:rFonts w:ascii="Calibri" w:hAnsi="Calibri" w:cs="Calibri"/>
                <w:b/>
                <w:bCs/>
                <w:color w:val="000000"/>
                <w:lang w:eastAsia="en-NZ"/>
              </w:rPr>
            </w:pPr>
            <w:r w:rsidRPr="00B57D1A">
              <w:rPr>
                <w:rFonts w:ascii="Calibri" w:hAnsi="Calibri" w:cs="Calibri"/>
                <w:b/>
                <w:bCs/>
                <w:color w:val="000000"/>
                <w:lang w:eastAsia="en-NZ"/>
              </w:rPr>
              <w:t>Action Numbering</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CFE56A1" w14:textId="77777777" w:rsidR="00B57D1A" w:rsidRPr="00B57D1A" w:rsidRDefault="00B57D1A" w:rsidP="00B57D1A">
            <w:pPr>
              <w:spacing w:after="0" w:line="240" w:lineRule="auto"/>
              <w:jc w:val="center"/>
              <w:rPr>
                <w:rFonts w:ascii="Calibri" w:hAnsi="Calibri" w:cs="Calibri"/>
                <w:b/>
                <w:bCs/>
                <w:color w:val="000000"/>
                <w:lang w:eastAsia="en-NZ"/>
              </w:rPr>
            </w:pPr>
            <w:r w:rsidRPr="00B57D1A">
              <w:rPr>
                <w:rFonts w:ascii="Calibri" w:hAnsi="Calibri" w:cs="Calibri"/>
                <w:b/>
                <w:bCs/>
                <w:color w:val="000000"/>
                <w:lang w:eastAsia="en-NZ"/>
              </w:rPr>
              <w:t>Actions</w:t>
            </w:r>
          </w:p>
        </w:tc>
      </w:tr>
      <w:tr w:rsidR="00875543" w:rsidRPr="00B57D1A" w14:paraId="12C5693D" w14:textId="77777777" w:rsidTr="00B57D1A">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2452A124" w14:textId="6659DB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w:t>
            </w:r>
          </w:p>
        </w:tc>
        <w:tc>
          <w:tcPr>
            <w:tcW w:w="6948" w:type="dxa"/>
            <w:tcBorders>
              <w:top w:val="nil"/>
              <w:left w:val="nil"/>
              <w:bottom w:val="single" w:sz="4" w:space="0" w:color="auto"/>
              <w:right w:val="single" w:sz="4" w:space="0" w:color="auto"/>
            </w:tcBorders>
            <w:shd w:val="clear" w:color="auto" w:fill="auto"/>
            <w:noWrap/>
            <w:vAlign w:val="center"/>
          </w:tcPr>
          <w:p w14:paraId="10FCA212" w14:textId="4B19CD7A"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Acknowledgement</w:t>
            </w:r>
          </w:p>
        </w:tc>
        <w:tc>
          <w:tcPr>
            <w:tcW w:w="4481" w:type="dxa"/>
            <w:tcBorders>
              <w:top w:val="nil"/>
              <w:left w:val="nil"/>
              <w:bottom w:val="single" w:sz="4" w:space="0" w:color="auto"/>
              <w:right w:val="single" w:sz="4" w:space="0" w:color="auto"/>
            </w:tcBorders>
            <w:shd w:val="clear" w:color="auto" w:fill="auto"/>
            <w:noWrap/>
            <w:vAlign w:val="center"/>
          </w:tcPr>
          <w:p w14:paraId="46E244A9" w14:textId="38C3CD7A" w:rsidR="00875543" w:rsidRPr="00B57D1A" w:rsidRDefault="002C2DB5" w:rsidP="00875543">
            <w:pPr>
              <w:spacing w:after="0" w:line="240" w:lineRule="auto"/>
              <w:rPr>
                <w:rFonts w:ascii="Calibri" w:hAnsi="Calibri" w:cs="Calibri"/>
                <w:color w:val="000000"/>
                <w:lang w:eastAsia="en-NZ"/>
              </w:rPr>
            </w:pPr>
            <w:r>
              <w:rPr>
                <w:rFonts w:ascii="Calibri" w:hAnsi="Calibri" w:cs="Calibri"/>
                <w:color w:val="000000"/>
                <w:lang w:eastAsia="en-NZ"/>
              </w:rPr>
              <w:t>FA1.1</w:t>
            </w:r>
          </w:p>
        </w:tc>
        <w:tc>
          <w:tcPr>
            <w:tcW w:w="1667" w:type="dxa"/>
            <w:tcBorders>
              <w:top w:val="nil"/>
              <w:left w:val="nil"/>
              <w:bottom w:val="single" w:sz="4" w:space="0" w:color="auto"/>
              <w:right w:val="single" w:sz="4" w:space="0" w:color="auto"/>
            </w:tcBorders>
            <w:shd w:val="clear" w:color="auto" w:fill="auto"/>
            <w:noWrap/>
            <w:vAlign w:val="center"/>
          </w:tcPr>
          <w:p w14:paraId="7170E31B" w14:textId="5C32B7D7" w:rsidR="00875543" w:rsidRPr="00B57D1A" w:rsidRDefault="00875543" w:rsidP="00875543">
            <w:pPr>
              <w:spacing w:after="0" w:line="240" w:lineRule="auto"/>
              <w:jc w:val="center"/>
              <w:rPr>
                <w:rFonts w:ascii="Calibri" w:hAnsi="Calibri" w:cs="Calibri"/>
                <w:color w:val="000000"/>
                <w:lang w:eastAsia="en-NZ"/>
              </w:rPr>
            </w:pPr>
            <w:r>
              <w:rPr>
                <w:rFonts w:ascii="Calibri" w:hAnsi="Calibri" w:cs="Calibri"/>
                <w:color w:val="000000"/>
                <w:lang w:eastAsia="en-NZ"/>
              </w:rPr>
              <w:t>1</w:t>
            </w:r>
          </w:p>
        </w:tc>
      </w:tr>
      <w:tr w:rsidR="00875543" w:rsidRPr="00B57D1A" w14:paraId="280FC329"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131996A3" w14:textId="20454DF5"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FA2</w:t>
            </w:r>
          </w:p>
        </w:tc>
        <w:tc>
          <w:tcPr>
            <w:tcW w:w="6948" w:type="dxa"/>
            <w:tcBorders>
              <w:top w:val="nil"/>
              <w:left w:val="nil"/>
              <w:bottom w:val="single" w:sz="4" w:space="0" w:color="auto"/>
              <w:right w:val="single" w:sz="4" w:space="0" w:color="auto"/>
            </w:tcBorders>
            <w:shd w:val="clear" w:color="auto" w:fill="auto"/>
            <w:noWrap/>
            <w:vAlign w:val="center"/>
            <w:hideMark/>
          </w:tcPr>
          <w:p w14:paraId="57B4A6DB"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Psychological Safety &amp; Wellbeing</w:t>
            </w:r>
          </w:p>
        </w:tc>
        <w:tc>
          <w:tcPr>
            <w:tcW w:w="4481" w:type="dxa"/>
            <w:tcBorders>
              <w:top w:val="nil"/>
              <w:left w:val="nil"/>
              <w:bottom w:val="single" w:sz="4" w:space="0" w:color="auto"/>
              <w:right w:val="single" w:sz="4" w:space="0" w:color="auto"/>
            </w:tcBorders>
            <w:shd w:val="clear" w:color="auto" w:fill="auto"/>
            <w:noWrap/>
            <w:vAlign w:val="center"/>
            <w:hideMark/>
          </w:tcPr>
          <w:p w14:paraId="48720FE0" w14:textId="506917E9"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F6303C">
              <w:rPr>
                <w:rFonts w:ascii="Calibri" w:hAnsi="Calibri" w:cs="Calibri"/>
                <w:color w:val="000000"/>
                <w:lang w:eastAsia="en-NZ"/>
              </w:rPr>
              <w:t>2</w:t>
            </w:r>
            <w:r w:rsidRPr="00B57D1A">
              <w:rPr>
                <w:rFonts w:ascii="Calibri" w:hAnsi="Calibri" w:cs="Calibri"/>
                <w:color w:val="000000"/>
                <w:lang w:eastAsia="en-NZ"/>
              </w:rPr>
              <w:t>.1</w:t>
            </w:r>
          </w:p>
        </w:tc>
        <w:tc>
          <w:tcPr>
            <w:tcW w:w="1667" w:type="dxa"/>
            <w:tcBorders>
              <w:top w:val="nil"/>
              <w:left w:val="nil"/>
              <w:bottom w:val="single" w:sz="4" w:space="0" w:color="auto"/>
              <w:right w:val="single" w:sz="4" w:space="0" w:color="auto"/>
            </w:tcBorders>
            <w:shd w:val="clear" w:color="auto" w:fill="auto"/>
            <w:noWrap/>
            <w:vAlign w:val="center"/>
            <w:hideMark/>
          </w:tcPr>
          <w:p w14:paraId="5AD7E8ED"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1</w:t>
            </w:r>
          </w:p>
        </w:tc>
      </w:tr>
      <w:tr w:rsidR="00875543" w:rsidRPr="00B57D1A" w14:paraId="64E52B98"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7FBEC76B" w14:textId="1DCC6ECC"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FA3</w:t>
            </w:r>
          </w:p>
        </w:tc>
        <w:tc>
          <w:tcPr>
            <w:tcW w:w="6948" w:type="dxa"/>
            <w:tcBorders>
              <w:top w:val="nil"/>
              <w:left w:val="nil"/>
              <w:bottom w:val="single" w:sz="4" w:space="0" w:color="auto"/>
              <w:right w:val="single" w:sz="4" w:space="0" w:color="auto"/>
            </w:tcBorders>
            <w:shd w:val="clear" w:color="auto" w:fill="auto"/>
            <w:noWrap/>
            <w:vAlign w:val="center"/>
            <w:hideMark/>
          </w:tcPr>
          <w:p w14:paraId="54F557AB"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Cultural Transformation</w:t>
            </w:r>
          </w:p>
        </w:tc>
        <w:tc>
          <w:tcPr>
            <w:tcW w:w="4481" w:type="dxa"/>
            <w:tcBorders>
              <w:top w:val="nil"/>
              <w:left w:val="nil"/>
              <w:bottom w:val="single" w:sz="4" w:space="0" w:color="auto"/>
              <w:right w:val="single" w:sz="4" w:space="0" w:color="auto"/>
            </w:tcBorders>
            <w:shd w:val="clear" w:color="auto" w:fill="auto"/>
            <w:noWrap/>
            <w:vAlign w:val="center"/>
            <w:hideMark/>
          </w:tcPr>
          <w:p w14:paraId="63312871" w14:textId="4D1F87ED"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3</w:t>
            </w:r>
            <w:r w:rsidRPr="00B57D1A">
              <w:rPr>
                <w:rFonts w:ascii="Calibri" w:hAnsi="Calibri" w:cs="Calibri"/>
                <w:color w:val="000000"/>
                <w:lang w:eastAsia="en-NZ"/>
              </w:rPr>
              <w:t xml:space="preserve">.1 - </w:t>
            </w:r>
            <w:r w:rsidR="002C2DB5">
              <w:rPr>
                <w:rFonts w:ascii="Calibri" w:hAnsi="Calibri" w:cs="Calibri"/>
                <w:color w:val="000000"/>
                <w:lang w:eastAsia="en-NZ"/>
              </w:rPr>
              <w:t>3</w:t>
            </w:r>
            <w:r w:rsidRPr="00B57D1A">
              <w:rPr>
                <w:rFonts w:ascii="Calibri" w:hAnsi="Calibri" w:cs="Calibri"/>
                <w:color w:val="000000"/>
                <w:lang w:eastAsia="en-NZ"/>
              </w:rPr>
              <w:t>.7</w:t>
            </w:r>
          </w:p>
        </w:tc>
        <w:tc>
          <w:tcPr>
            <w:tcW w:w="1667" w:type="dxa"/>
            <w:tcBorders>
              <w:top w:val="nil"/>
              <w:left w:val="nil"/>
              <w:bottom w:val="single" w:sz="4" w:space="0" w:color="auto"/>
              <w:right w:val="single" w:sz="4" w:space="0" w:color="auto"/>
            </w:tcBorders>
            <w:shd w:val="clear" w:color="auto" w:fill="auto"/>
            <w:noWrap/>
            <w:vAlign w:val="center"/>
            <w:hideMark/>
          </w:tcPr>
          <w:p w14:paraId="6FE95169"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7</w:t>
            </w:r>
          </w:p>
        </w:tc>
      </w:tr>
      <w:tr w:rsidR="00875543" w:rsidRPr="00B57D1A" w14:paraId="45FB46F6"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46C64933" w14:textId="46C343D4"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FA4</w:t>
            </w:r>
          </w:p>
        </w:tc>
        <w:tc>
          <w:tcPr>
            <w:tcW w:w="6948" w:type="dxa"/>
            <w:tcBorders>
              <w:top w:val="nil"/>
              <w:left w:val="nil"/>
              <w:bottom w:val="single" w:sz="4" w:space="0" w:color="auto"/>
              <w:right w:val="single" w:sz="4" w:space="0" w:color="auto"/>
            </w:tcBorders>
            <w:shd w:val="clear" w:color="auto" w:fill="auto"/>
            <w:noWrap/>
            <w:vAlign w:val="center"/>
            <w:hideMark/>
          </w:tcPr>
          <w:p w14:paraId="3FF30158"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Transparency</w:t>
            </w:r>
          </w:p>
        </w:tc>
        <w:tc>
          <w:tcPr>
            <w:tcW w:w="4481" w:type="dxa"/>
            <w:tcBorders>
              <w:top w:val="nil"/>
              <w:left w:val="nil"/>
              <w:bottom w:val="single" w:sz="4" w:space="0" w:color="auto"/>
              <w:right w:val="single" w:sz="4" w:space="0" w:color="auto"/>
            </w:tcBorders>
            <w:shd w:val="clear" w:color="auto" w:fill="auto"/>
            <w:noWrap/>
            <w:vAlign w:val="center"/>
            <w:hideMark/>
          </w:tcPr>
          <w:p w14:paraId="6887624F" w14:textId="35E2DD89"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4</w:t>
            </w:r>
            <w:r w:rsidRPr="00B57D1A">
              <w:rPr>
                <w:rFonts w:ascii="Calibri" w:hAnsi="Calibri" w:cs="Calibri"/>
                <w:color w:val="000000"/>
                <w:lang w:eastAsia="en-NZ"/>
              </w:rPr>
              <w:t xml:space="preserve">.1 - </w:t>
            </w:r>
            <w:r w:rsidR="002C2DB5">
              <w:rPr>
                <w:rFonts w:ascii="Calibri" w:hAnsi="Calibri" w:cs="Calibri"/>
                <w:color w:val="000000"/>
                <w:lang w:eastAsia="en-NZ"/>
              </w:rPr>
              <w:t>4</w:t>
            </w:r>
            <w:r w:rsidRPr="00B57D1A">
              <w:rPr>
                <w:rFonts w:ascii="Calibri" w:hAnsi="Calibri" w:cs="Calibri"/>
                <w:color w:val="000000"/>
                <w:lang w:eastAsia="en-NZ"/>
              </w:rPr>
              <w:t>.2</w:t>
            </w:r>
          </w:p>
        </w:tc>
        <w:tc>
          <w:tcPr>
            <w:tcW w:w="1667" w:type="dxa"/>
            <w:tcBorders>
              <w:top w:val="nil"/>
              <w:left w:val="nil"/>
              <w:bottom w:val="single" w:sz="4" w:space="0" w:color="auto"/>
              <w:right w:val="single" w:sz="4" w:space="0" w:color="auto"/>
            </w:tcBorders>
            <w:shd w:val="clear" w:color="auto" w:fill="auto"/>
            <w:noWrap/>
            <w:vAlign w:val="center"/>
            <w:hideMark/>
          </w:tcPr>
          <w:p w14:paraId="2CD36CA2"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2</w:t>
            </w:r>
          </w:p>
        </w:tc>
      </w:tr>
      <w:tr w:rsidR="00875543" w:rsidRPr="00B57D1A" w14:paraId="2C98F600"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53DE297A" w14:textId="4C0DECF0"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FA5</w:t>
            </w:r>
          </w:p>
        </w:tc>
        <w:tc>
          <w:tcPr>
            <w:tcW w:w="6948" w:type="dxa"/>
            <w:tcBorders>
              <w:top w:val="nil"/>
              <w:left w:val="nil"/>
              <w:bottom w:val="single" w:sz="4" w:space="0" w:color="auto"/>
              <w:right w:val="single" w:sz="4" w:space="0" w:color="auto"/>
            </w:tcBorders>
            <w:shd w:val="clear" w:color="auto" w:fill="auto"/>
            <w:noWrap/>
            <w:vAlign w:val="center"/>
            <w:hideMark/>
          </w:tcPr>
          <w:p w14:paraId="0CEA0C8F" w14:textId="0C260B36"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 xml:space="preserve">Athlete </w:t>
            </w:r>
            <w:r w:rsidR="00E873CD">
              <w:rPr>
                <w:rFonts w:ascii="Calibri" w:hAnsi="Calibri" w:cs="Calibri"/>
                <w:color w:val="000000"/>
                <w:lang w:eastAsia="en-NZ"/>
              </w:rPr>
              <w:t>Engagement</w:t>
            </w:r>
          </w:p>
        </w:tc>
        <w:tc>
          <w:tcPr>
            <w:tcW w:w="4481" w:type="dxa"/>
            <w:tcBorders>
              <w:top w:val="nil"/>
              <w:left w:val="nil"/>
              <w:bottom w:val="single" w:sz="4" w:space="0" w:color="auto"/>
              <w:right w:val="single" w:sz="4" w:space="0" w:color="auto"/>
            </w:tcBorders>
            <w:shd w:val="clear" w:color="auto" w:fill="auto"/>
            <w:noWrap/>
            <w:vAlign w:val="center"/>
            <w:hideMark/>
          </w:tcPr>
          <w:p w14:paraId="09F07842" w14:textId="68DDBE5C"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5</w:t>
            </w:r>
            <w:r w:rsidRPr="00B57D1A">
              <w:rPr>
                <w:rFonts w:ascii="Calibri" w:hAnsi="Calibri" w:cs="Calibri"/>
                <w:color w:val="000000"/>
                <w:lang w:eastAsia="en-NZ"/>
              </w:rPr>
              <w:t xml:space="preserve">.1 - </w:t>
            </w:r>
            <w:r w:rsidR="002C2DB5">
              <w:rPr>
                <w:rFonts w:ascii="Calibri" w:hAnsi="Calibri" w:cs="Calibri"/>
                <w:color w:val="000000"/>
                <w:lang w:eastAsia="en-NZ"/>
              </w:rPr>
              <w:t>5</w:t>
            </w:r>
            <w:r w:rsidRPr="00B57D1A">
              <w:rPr>
                <w:rFonts w:ascii="Calibri" w:hAnsi="Calibri" w:cs="Calibri"/>
                <w:color w:val="000000"/>
                <w:lang w:eastAsia="en-NZ"/>
              </w:rPr>
              <w:t>.2</w:t>
            </w:r>
          </w:p>
        </w:tc>
        <w:tc>
          <w:tcPr>
            <w:tcW w:w="1667" w:type="dxa"/>
            <w:tcBorders>
              <w:top w:val="nil"/>
              <w:left w:val="nil"/>
              <w:bottom w:val="single" w:sz="4" w:space="0" w:color="auto"/>
              <w:right w:val="single" w:sz="4" w:space="0" w:color="auto"/>
            </w:tcBorders>
            <w:shd w:val="clear" w:color="auto" w:fill="auto"/>
            <w:noWrap/>
            <w:vAlign w:val="center"/>
            <w:hideMark/>
          </w:tcPr>
          <w:p w14:paraId="69423931"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2</w:t>
            </w:r>
          </w:p>
        </w:tc>
      </w:tr>
      <w:tr w:rsidR="00875543" w:rsidRPr="00B57D1A" w14:paraId="5517F6F3"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032238BE" w14:textId="4D47939F"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FA6</w:t>
            </w:r>
          </w:p>
        </w:tc>
        <w:tc>
          <w:tcPr>
            <w:tcW w:w="6948" w:type="dxa"/>
            <w:tcBorders>
              <w:top w:val="nil"/>
              <w:left w:val="nil"/>
              <w:bottom w:val="single" w:sz="4" w:space="0" w:color="auto"/>
              <w:right w:val="single" w:sz="4" w:space="0" w:color="auto"/>
            </w:tcBorders>
            <w:shd w:val="clear" w:color="auto" w:fill="auto"/>
            <w:noWrap/>
            <w:vAlign w:val="center"/>
            <w:hideMark/>
          </w:tcPr>
          <w:p w14:paraId="52E78339"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Athletes Performance Pathway</w:t>
            </w:r>
          </w:p>
        </w:tc>
        <w:tc>
          <w:tcPr>
            <w:tcW w:w="4481" w:type="dxa"/>
            <w:tcBorders>
              <w:top w:val="nil"/>
              <w:left w:val="nil"/>
              <w:bottom w:val="single" w:sz="4" w:space="0" w:color="auto"/>
              <w:right w:val="single" w:sz="4" w:space="0" w:color="auto"/>
            </w:tcBorders>
            <w:shd w:val="clear" w:color="auto" w:fill="auto"/>
            <w:noWrap/>
            <w:vAlign w:val="center"/>
            <w:hideMark/>
          </w:tcPr>
          <w:p w14:paraId="16A21660" w14:textId="16C1CB4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6</w:t>
            </w:r>
            <w:r w:rsidRPr="00B57D1A">
              <w:rPr>
                <w:rFonts w:ascii="Calibri" w:hAnsi="Calibri" w:cs="Calibri"/>
                <w:color w:val="000000"/>
                <w:lang w:eastAsia="en-NZ"/>
              </w:rPr>
              <w:t xml:space="preserve">.1 - </w:t>
            </w:r>
            <w:r w:rsidR="002C2DB5">
              <w:rPr>
                <w:rFonts w:ascii="Calibri" w:hAnsi="Calibri" w:cs="Calibri"/>
                <w:color w:val="000000"/>
                <w:lang w:eastAsia="en-NZ"/>
              </w:rPr>
              <w:t>6</w:t>
            </w:r>
            <w:r w:rsidRPr="00B57D1A">
              <w:rPr>
                <w:rFonts w:ascii="Calibri" w:hAnsi="Calibri" w:cs="Calibri"/>
                <w:color w:val="000000"/>
                <w:lang w:eastAsia="en-NZ"/>
              </w:rPr>
              <w:t>.4</w:t>
            </w:r>
          </w:p>
        </w:tc>
        <w:tc>
          <w:tcPr>
            <w:tcW w:w="1667" w:type="dxa"/>
            <w:tcBorders>
              <w:top w:val="nil"/>
              <w:left w:val="nil"/>
              <w:bottom w:val="single" w:sz="4" w:space="0" w:color="auto"/>
              <w:right w:val="single" w:sz="4" w:space="0" w:color="auto"/>
            </w:tcBorders>
            <w:shd w:val="clear" w:color="auto" w:fill="auto"/>
            <w:noWrap/>
            <w:vAlign w:val="center"/>
            <w:hideMark/>
          </w:tcPr>
          <w:p w14:paraId="6341243C"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4</w:t>
            </w:r>
          </w:p>
        </w:tc>
      </w:tr>
      <w:tr w:rsidR="00875543" w:rsidRPr="00B57D1A" w14:paraId="75A845ED"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1369AA5D" w14:textId="4DF70BD5"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FA7</w:t>
            </w:r>
          </w:p>
        </w:tc>
        <w:tc>
          <w:tcPr>
            <w:tcW w:w="6948" w:type="dxa"/>
            <w:tcBorders>
              <w:top w:val="nil"/>
              <w:left w:val="nil"/>
              <w:bottom w:val="single" w:sz="4" w:space="0" w:color="auto"/>
              <w:right w:val="single" w:sz="4" w:space="0" w:color="auto"/>
            </w:tcBorders>
            <w:shd w:val="clear" w:color="auto" w:fill="auto"/>
            <w:noWrap/>
            <w:vAlign w:val="center"/>
            <w:hideMark/>
          </w:tcPr>
          <w:p w14:paraId="57B95C58"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Quality Coaches</w:t>
            </w:r>
          </w:p>
        </w:tc>
        <w:tc>
          <w:tcPr>
            <w:tcW w:w="4481" w:type="dxa"/>
            <w:tcBorders>
              <w:top w:val="nil"/>
              <w:left w:val="nil"/>
              <w:bottom w:val="single" w:sz="4" w:space="0" w:color="auto"/>
              <w:right w:val="single" w:sz="4" w:space="0" w:color="auto"/>
            </w:tcBorders>
            <w:shd w:val="clear" w:color="auto" w:fill="auto"/>
            <w:noWrap/>
            <w:vAlign w:val="center"/>
            <w:hideMark/>
          </w:tcPr>
          <w:p w14:paraId="7D187C66" w14:textId="12438938"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7</w:t>
            </w:r>
            <w:r w:rsidRPr="00B57D1A">
              <w:rPr>
                <w:rFonts w:ascii="Calibri" w:hAnsi="Calibri" w:cs="Calibri"/>
                <w:color w:val="000000"/>
                <w:lang w:eastAsia="en-NZ"/>
              </w:rPr>
              <w:t xml:space="preserve">.1 - </w:t>
            </w:r>
            <w:r w:rsidR="002C2DB5">
              <w:rPr>
                <w:rFonts w:ascii="Calibri" w:hAnsi="Calibri" w:cs="Calibri"/>
                <w:color w:val="000000"/>
                <w:lang w:eastAsia="en-NZ"/>
              </w:rPr>
              <w:t>7</w:t>
            </w:r>
            <w:r w:rsidRPr="00B57D1A">
              <w:rPr>
                <w:rFonts w:ascii="Calibri" w:hAnsi="Calibri" w:cs="Calibri"/>
                <w:color w:val="000000"/>
                <w:lang w:eastAsia="en-NZ"/>
              </w:rPr>
              <w:t>.2</w:t>
            </w:r>
          </w:p>
        </w:tc>
        <w:tc>
          <w:tcPr>
            <w:tcW w:w="1667" w:type="dxa"/>
            <w:tcBorders>
              <w:top w:val="nil"/>
              <w:left w:val="nil"/>
              <w:bottom w:val="single" w:sz="4" w:space="0" w:color="auto"/>
              <w:right w:val="single" w:sz="4" w:space="0" w:color="auto"/>
            </w:tcBorders>
            <w:shd w:val="clear" w:color="auto" w:fill="auto"/>
            <w:noWrap/>
            <w:vAlign w:val="center"/>
            <w:hideMark/>
          </w:tcPr>
          <w:p w14:paraId="2F694C7E"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2</w:t>
            </w:r>
          </w:p>
        </w:tc>
      </w:tr>
      <w:tr w:rsidR="00875543" w:rsidRPr="00B57D1A" w14:paraId="1C954FD7"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538F923A" w14:textId="198DD8C0"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FA8</w:t>
            </w:r>
          </w:p>
        </w:tc>
        <w:tc>
          <w:tcPr>
            <w:tcW w:w="6948" w:type="dxa"/>
            <w:tcBorders>
              <w:top w:val="nil"/>
              <w:left w:val="nil"/>
              <w:bottom w:val="single" w:sz="4" w:space="0" w:color="auto"/>
              <w:right w:val="single" w:sz="4" w:space="0" w:color="auto"/>
            </w:tcBorders>
            <w:shd w:val="clear" w:color="auto" w:fill="auto"/>
            <w:noWrap/>
            <w:vAlign w:val="center"/>
            <w:hideMark/>
          </w:tcPr>
          <w:p w14:paraId="45E9A219"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Athlete Support Services</w:t>
            </w:r>
          </w:p>
        </w:tc>
        <w:tc>
          <w:tcPr>
            <w:tcW w:w="4481" w:type="dxa"/>
            <w:tcBorders>
              <w:top w:val="nil"/>
              <w:left w:val="nil"/>
              <w:bottom w:val="single" w:sz="4" w:space="0" w:color="auto"/>
              <w:right w:val="single" w:sz="4" w:space="0" w:color="auto"/>
            </w:tcBorders>
            <w:shd w:val="clear" w:color="auto" w:fill="auto"/>
            <w:noWrap/>
            <w:vAlign w:val="center"/>
            <w:hideMark/>
          </w:tcPr>
          <w:p w14:paraId="2EFC698E" w14:textId="4980DFD5"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8</w:t>
            </w:r>
            <w:r w:rsidRPr="00B57D1A">
              <w:rPr>
                <w:rFonts w:ascii="Calibri" w:hAnsi="Calibri" w:cs="Calibri"/>
                <w:color w:val="000000"/>
                <w:lang w:eastAsia="en-NZ"/>
              </w:rPr>
              <w:t xml:space="preserve">.1 - </w:t>
            </w:r>
            <w:r w:rsidR="002C2DB5">
              <w:rPr>
                <w:rFonts w:ascii="Calibri" w:hAnsi="Calibri" w:cs="Calibri"/>
                <w:color w:val="000000"/>
                <w:lang w:eastAsia="en-NZ"/>
              </w:rPr>
              <w:t>8</w:t>
            </w:r>
            <w:r w:rsidRPr="00B57D1A">
              <w:rPr>
                <w:rFonts w:ascii="Calibri" w:hAnsi="Calibri" w:cs="Calibri"/>
                <w:color w:val="000000"/>
                <w:lang w:eastAsia="en-NZ"/>
              </w:rPr>
              <w:t>.6</w:t>
            </w:r>
          </w:p>
        </w:tc>
        <w:tc>
          <w:tcPr>
            <w:tcW w:w="1667" w:type="dxa"/>
            <w:tcBorders>
              <w:top w:val="nil"/>
              <w:left w:val="nil"/>
              <w:bottom w:val="single" w:sz="4" w:space="0" w:color="auto"/>
              <w:right w:val="single" w:sz="4" w:space="0" w:color="auto"/>
            </w:tcBorders>
            <w:shd w:val="clear" w:color="auto" w:fill="auto"/>
            <w:noWrap/>
            <w:vAlign w:val="center"/>
            <w:hideMark/>
          </w:tcPr>
          <w:p w14:paraId="246A4993"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6</w:t>
            </w:r>
          </w:p>
        </w:tc>
      </w:tr>
      <w:tr w:rsidR="00875543" w:rsidRPr="00B57D1A" w14:paraId="3774FF61"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2724B0DE" w14:textId="71C10694"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FA9</w:t>
            </w:r>
          </w:p>
        </w:tc>
        <w:tc>
          <w:tcPr>
            <w:tcW w:w="6948" w:type="dxa"/>
            <w:tcBorders>
              <w:top w:val="nil"/>
              <w:left w:val="nil"/>
              <w:bottom w:val="single" w:sz="4" w:space="0" w:color="auto"/>
              <w:right w:val="single" w:sz="4" w:space="0" w:color="auto"/>
            </w:tcBorders>
            <w:shd w:val="clear" w:color="auto" w:fill="auto"/>
            <w:noWrap/>
            <w:vAlign w:val="center"/>
            <w:hideMark/>
          </w:tcPr>
          <w:p w14:paraId="45A1EC3F"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Governance &amp; Leadership</w:t>
            </w:r>
          </w:p>
        </w:tc>
        <w:tc>
          <w:tcPr>
            <w:tcW w:w="4481" w:type="dxa"/>
            <w:tcBorders>
              <w:top w:val="nil"/>
              <w:left w:val="nil"/>
              <w:bottom w:val="single" w:sz="4" w:space="0" w:color="auto"/>
              <w:right w:val="single" w:sz="4" w:space="0" w:color="auto"/>
            </w:tcBorders>
            <w:shd w:val="clear" w:color="auto" w:fill="auto"/>
            <w:noWrap/>
            <w:vAlign w:val="center"/>
            <w:hideMark/>
          </w:tcPr>
          <w:p w14:paraId="6FF0FE2E" w14:textId="1CF35256"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9</w:t>
            </w:r>
            <w:r w:rsidRPr="00B57D1A">
              <w:rPr>
                <w:rFonts w:ascii="Calibri" w:hAnsi="Calibri" w:cs="Calibri"/>
                <w:color w:val="000000"/>
                <w:lang w:eastAsia="en-NZ"/>
              </w:rPr>
              <w:t xml:space="preserve">.1 - </w:t>
            </w:r>
            <w:r w:rsidR="002C2DB5">
              <w:rPr>
                <w:rFonts w:ascii="Calibri" w:hAnsi="Calibri" w:cs="Calibri"/>
                <w:color w:val="000000"/>
                <w:lang w:eastAsia="en-NZ"/>
              </w:rPr>
              <w:t>9</w:t>
            </w:r>
            <w:r w:rsidRPr="00B57D1A">
              <w:rPr>
                <w:rFonts w:ascii="Calibri" w:hAnsi="Calibri" w:cs="Calibri"/>
                <w:color w:val="000000"/>
                <w:lang w:eastAsia="en-NZ"/>
              </w:rPr>
              <w:t>.3</w:t>
            </w:r>
          </w:p>
        </w:tc>
        <w:tc>
          <w:tcPr>
            <w:tcW w:w="1667" w:type="dxa"/>
            <w:tcBorders>
              <w:top w:val="nil"/>
              <w:left w:val="nil"/>
              <w:bottom w:val="single" w:sz="4" w:space="0" w:color="auto"/>
              <w:right w:val="single" w:sz="4" w:space="0" w:color="auto"/>
            </w:tcBorders>
            <w:shd w:val="clear" w:color="auto" w:fill="auto"/>
            <w:noWrap/>
            <w:vAlign w:val="center"/>
            <w:hideMark/>
          </w:tcPr>
          <w:p w14:paraId="0B542DFD"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3</w:t>
            </w:r>
          </w:p>
        </w:tc>
      </w:tr>
      <w:tr w:rsidR="00875543" w:rsidRPr="00B57D1A" w14:paraId="23CE1F6F"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1E75F61F" w14:textId="15264AE3"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FA10</w:t>
            </w:r>
          </w:p>
        </w:tc>
        <w:tc>
          <w:tcPr>
            <w:tcW w:w="6948" w:type="dxa"/>
            <w:tcBorders>
              <w:top w:val="nil"/>
              <w:left w:val="nil"/>
              <w:bottom w:val="single" w:sz="4" w:space="0" w:color="auto"/>
              <w:right w:val="single" w:sz="4" w:space="0" w:color="auto"/>
            </w:tcBorders>
            <w:shd w:val="clear" w:color="auto" w:fill="auto"/>
            <w:noWrap/>
            <w:vAlign w:val="center"/>
            <w:hideMark/>
          </w:tcPr>
          <w:p w14:paraId="2E6FBA7C"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Role Clarity</w:t>
            </w:r>
          </w:p>
        </w:tc>
        <w:tc>
          <w:tcPr>
            <w:tcW w:w="4481" w:type="dxa"/>
            <w:tcBorders>
              <w:top w:val="nil"/>
              <w:left w:val="nil"/>
              <w:bottom w:val="single" w:sz="4" w:space="0" w:color="auto"/>
              <w:right w:val="single" w:sz="4" w:space="0" w:color="auto"/>
            </w:tcBorders>
            <w:shd w:val="clear" w:color="auto" w:fill="auto"/>
            <w:noWrap/>
            <w:vAlign w:val="center"/>
            <w:hideMark/>
          </w:tcPr>
          <w:p w14:paraId="0F51FBDE" w14:textId="388C474A"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w:t>
            </w:r>
            <w:r w:rsidR="002C2DB5">
              <w:rPr>
                <w:rFonts w:ascii="Calibri" w:hAnsi="Calibri" w:cs="Calibri"/>
                <w:color w:val="000000"/>
                <w:lang w:eastAsia="en-NZ"/>
              </w:rPr>
              <w:t>10.</w:t>
            </w:r>
            <w:r w:rsidRPr="00B57D1A">
              <w:rPr>
                <w:rFonts w:ascii="Calibri" w:hAnsi="Calibri" w:cs="Calibri"/>
                <w:color w:val="000000"/>
                <w:lang w:eastAsia="en-NZ"/>
              </w:rPr>
              <w:t>1</w:t>
            </w:r>
          </w:p>
        </w:tc>
        <w:tc>
          <w:tcPr>
            <w:tcW w:w="1667" w:type="dxa"/>
            <w:tcBorders>
              <w:top w:val="nil"/>
              <w:left w:val="nil"/>
              <w:bottom w:val="single" w:sz="4" w:space="0" w:color="auto"/>
              <w:right w:val="single" w:sz="4" w:space="0" w:color="auto"/>
            </w:tcBorders>
            <w:shd w:val="clear" w:color="auto" w:fill="auto"/>
            <w:noWrap/>
            <w:vAlign w:val="center"/>
            <w:hideMark/>
          </w:tcPr>
          <w:p w14:paraId="57383ECD"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2</w:t>
            </w:r>
          </w:p>
        </w:tc>
      </w:tr>
      <w:tr w:rsidR="00875543" w:rsidRPr="00B57D1A" w14:paraId="11560B2F"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35989A73" w14:textId="7913A853"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FA11</w:t>
            </w:r>
          </w:p>
        </w:tc>
        <w:tc>
          <w:tcPr>
            <w:tcW w:w="6948" w:type="dxa"/>
            <w:tcBorders>
              <w:top w:val="nil"/>
              <w:left w:val="nil"/>
              <w:bottom w:val="single" w:sz="4" w:space="0" w:color="auto"/>
              <w:right w:val="single" w:sz="4" w:space="0" w:color="auto"/>
            </w:tcBorders>
            <w:shd w:val="clear" w:color="auto" w:fill="auto"/>
            <w:noWrap/>
            <w:vAlign w:val="center"/>
            <w:hideMark/>
          </w:tcPr>
          <w:p w14:paraId="3A69FF4D"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People Management &amp; Processes</w:t>
            </w:r>
          </w:p>
        </w:tc>
        <w:tc>
          <w:tcPr>
            <w:tcW w:w="4481" w:type="dxa"/>
            <w:tcBorders>
              <w:top w:val="nil"/>
              <w:left w:val="nil"/>
              <w:bottom w:val="single" w:sz="4" w:space="0" w:color="auto"/>
              <w:right w:val="single" w:sz="4" w:space="0" w:color="auto"/>
            </w:tcBorders>
            <w:shd w:val="clear" w:color="auto" w:fill="auto"/>
            <w:noWrap/>
            <w:vAlign w:val="center"/>
            <w:hideMark/>
          </w:tcPr>
          <w:p w14:paraId="0F73F86E" w14:textId="6FCD1C98"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w:t>
            </w:r>
            <w:r w:rsidR="002C2DB5">
              <w:rPr>
                <w:rFonts w:ascii="Calibri" w:hAnsi="Calibri" w:cs="Calibri"/>
                <w:color w:val="000000"/>
                <w:lang w:eastAsia="en-NZ"/>
              </w:rPr>
              <w:t>1</w:t>
            </w:r>
            <w:r w:rsidRPr="00B57D1A">
              <w:rPr>
                <w:rFonts w:ascii="Calibri" w:hAnsi="Calibri" w:cs="Calibri"/>
                <w:color w:val="000000"/>
                <w:lang w:eastAsia="en-NZ"/>
              </w:rPr>
              <w:t>.1 - 1</w:t>
            </w:r>
            <w:r w:rsidR="002C2DB5">
              <w:rPr>
                <w:rFonts w:ascii="Calibri" w:hAnsi="Calibri" w:cs="Calibri"/>
                <w:color w:val="000000"/>
                <w:lang w:eastAsia="en-NZ"/>
              </w:rPr>
              <w:t>1</w:t>
            </w:r>
            <w:r w:rsidRPr="00B57D1A">
              <w:rPr>
                <w:rFonts w:ascii="Calibri" w:hAnsi="Calibri" w:cs="Calibri"/>
                <w:color w:val="000000"/>
                <w:lang w:eastAsia="en-NZ"/>
              </w:rPr>
              <w:t>.</w:t>
            </w:r>
            <w:r w:rsidR="005073A2">
              <w:rPr>
                <w:rFonts w:ascii="Calibri" w:hAnsi="Calibri" w:cs="Calibri"/>
                <w:color w:val="000000"/>
                <w:lang w:eastAsia="en-NZ"/>
              </w:rPr>
              <w:t>4</w:t>
            </w:r>
          </w:p>
        </w:tc>
        <w:tc>
          <w:tcPr>
            <w:tcW w:w="1667" w:type="dxa"/>
            <w:tcBorders>
              <w:top w:val="nil"/>
              <w:left w:val="nil"/>
              <w:bottom w:val="single" w:sz="4" w:space="0" w:color="auto"/>
              <w:right w:val="single" w:sz="4" w:space="0" w:color="auto"/>
            </w:tcBorders>
            <w:shd w:val="clear" w:color="auto" w:fill="auto"/>
            <w:noWrap/>
            <w:vAlign w:val="center"/>
            <w:hideMark/>
          </w:tcPr>
          <w:p w14:paraId="6F0E4410"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2</w:t>
            </w:r>
          </w:p>
        </w:tc>
      </w:tr>
      <w:tr w:rsidR="00875543" w:rsidRPr="00B57D1A" w14:paraId="5F6E12C0"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2CF7B6CF" w14:textId="022D6B65"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FA12</w:t>
            </w:r>
          </w:p>
        </w:tc>
        <w:tc>
          <w:tcPr>
            <w:tcW w:w="6948" w:type="dxa"/>
            <w:tcBorders>
              <w:top w:val="nil"/>
              <w:left w:val="nil"/>
              <w:bottom w:val="single" w:sz="4" w:space="0" w:color="auto"/>
              <w:right w:val="single" w:sz="4" w:space="0" w:color="auto"/>
            </w:tcBorders>
            <w:shd w:val="clear" w:color="auto" w:fill="auto"/>
            <w:noWrap/>
            <w:vAlign w:val="center"/>
            <w:hideMark/>
          </w:tcPr>
          <w:p w14:paraId="362CE789" w14:textId="7777777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Organisational Processes</w:t>
            </w:r>
          </w:p>
        </w:tc>
        <w:tc>
          <w:tcPr>
            <w:tcW w:w="4481" w:type="dxa"/>
            <w:tcBorders>
              <w:top w:val="nil"/>
              <w:left w:val="nil"/>
              <w:bottom w:val="single" w:sz="4" w:space="0" w:color="auto"/>
              <w:right w:val="single" w:sz="4" w:space="0" w:color="auto"/>
            </w:tcBorders>
            <w:shd w:val="clear" w:color="auto" w:fill="auto"/>
            <w:noWrap/>
            <w:vAlign w:val="center"/>
            <w:hideMark/>
          </w:tcPr>
          <w:p w14:paraId="73BB3F6B" w14:textId="5C07B9E6"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w:t>
            </w:r>
            <w:r w:rsidR="002C2DB5">
              <w:rPr>
                <w:rFonts w:ascii="Calibri" w:hAnsi="Calibri" w:cs="Calibri"/>
                <w:color w:val="000000"/>
                <w:lang w:eastAsia="en-NZ"/>
              </w:rPr>
              <w:t>2</w:t>
            </w:r>
            <w:r w:rsidRPr="00B57D1A">
              <w:rPr>
                <w:rFonts w:ascii="Calibri" w:hAnsi="Calibri" w:cs="Calibri"/>
                <w:color w:val="000000"/>
                <w:lang w:eastAsia="en-NZ"/>
              </w:rPr>
              <w:t>.1 - 1</w:t>
            </w:r>
            <w:r w:rsidR="002C2DB5">
              <w:rPr>
                <w:rFonts w:ascii="Calibri" w:hAnsi="Calibri" w:cs="Calibri"/>
                <w:color w:val="000000"/>
                <w:lang w:eastAsia="en-NZ"/>
              </w:rPr>
              <w:t>2</w:t>
            </w:r>
            <w:r w:rsidRPr="00B57D1A">
              <w:rPr>
                <w:rFonts w:ascii="Calibri" w:hAnsi="Calibri" w:cs="Calibri"/>
                <w:color w:val="000000"/>
                <w:lang w:eastAsia="en-NZ"/>
              </w:rPr>
              <w:t>.</w:t>
            </w:r>
            <w:r w:rsidR="005073A2">
              <w:rPr>
                <w:rFonts w:ascii="Calibri" w:hAnsi="Calibri" w:cs="Calibri"/>
                <w:color w:val="000000"/>
                <w:lang w:eastAsia="en-NZ"/>
              </w:rPr>
              <w:t>2</w:t>
            </w:r>
          </w:p>
        </w:tc>
        <w:tc>
          <w:tcPr>
            <w:tcW w:w="1667" w:type="dxa"/>
            <w:tcBorders>
              <w:top w:val="nil"/>
              <w:left w:val="nil"/>
              <w:bottom w:val="single" w:sz="4" w:space="0" w:color="auto"/>
              <w:right w:val="single" w:sz="4" w:space="0" w:color="auto"/>
            </w:tcBorders>
            <w:shd w:val="clear" w:color="auto" w:fill="auto"/>
            <w:noWrap/>
            <w:vAlign w:val="center"/>
            <w:hideMark/>
          </w:tcPr>
          <w:p w14:paraId="717CE51A"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4</w:t>
            </w:r>
          </w:p>
        </w:tc>
      </w:tr>
      <w:tr w:rsidR="00875543" w:rsidRPr="00B57D1A" w14:paraId="6B9814EB" w14:textId="77777777" w:rsidTr="00875543">
        <w:trPr>
          <w:trHeight w:val="506"/>
        </w:trPr>
        <w:tc>
          <w:tcPr>
            <w:tcW w:w="1667" w:type="dxa"/>
            <w:tcBorders>
              <w:top w:val="nil"/>
              <w:left w:val="single" w:sz="4" w:space="0" w:color="auto"/>
              <w:bottom w:val="single" w:sz="4" w:space="0" w:color="auto"/>
              <w:right w:val="single" w:sz="4" w:space="0" w:color="auto"/>
            </w:tcBorders>
            <w:shd w:val="clear" w:color="auto" w:fill="auto"/>
            <w:noWrap/>
            <w:vAlign w:val="center"/>
          </w:tcPr>
          <w:p w14:paraId="1CD236C7" w14:textId="237DC341"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FA13</w:t>
            </w:r>
          </w:p>
        </w:tc>
        <w:tc>
          <w:tcPr>
            <w:tcW w:w="6948" w:type="dxa"/>
            <w:tcBorders>
              <w:top w:val="nil"/>
              <w:left w:val="nil"/>
              <w:bottom w:val="single" w:sz="4" w:space="0" w:color="auto"/>
              <w:right w:val="single" w:sz="4" w:space="0" w:color="auto"/>
            </w:tcBorders>
            <w:shd w:val="clear" w:color="auto" w:fill="auto"/>
            <w:noWrap/>
            <w:vAlign w:val="center"/>
            <w:hideMark/>
          </w:tcPr>
          <w:p w14:paraId="478C40C4" w14:textId="0C890167"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Funding</w:t>
            </w:r>
          </w:p>
        </w:tc>
        <w:tc>
          <w:tcPr>
            <w:tcW w:w="4481" w:type="dxa"/>
            <w:tcBorders>
              <w:top w:val="nil"/>
              <w:left w:val="nil"/>
              <w:bottom w:val="single" w:sz="4" w:space="0" w:color="auto"/>
              <w:right w:val="single" w:sz="4" w:space="0" w:color="auto"/>
            </w:tcBorders>
            <w:shd w:val="clear" w:color="auto" w:fill="auto"/>
            <w:noWrap/>
            <w:vAlign w:val="center"/>
            <w:hideMark/>
          </w:tcPr>
          <w:p w14:paraId="6A9D7C30" w14:textId="2B4E7729" w:rsidR="00875543" w:rsidRPr="00B57D1A" w:rsidRDefault="00875543" w:rsidP="00875543">
            <w:pPr>
              <w:spacing w:after="0" w:line="240" w:lineRule="auto"/>
              <w:rPr>
                <w:rFonts w:ascii="Calibri" w:hAnsi="Calibri" w:cs="Calibri"/>
                <w:color w:val="000000"/>
                <w:lang w:eastAsia="en-NZ"/>
              </w:rPr>
            </w:pPr>
            <w:r w:rsidRPr="00B57D1A">
              <w:rPr>
                <w:rFonts w:ascii="Calibri" w:hAnsi="Calibri" w:cs="Calibri"/>
                <w:color w:val="000000"/>
                <w:lang w:eastAsia="en-NZ"/>
              </w:rPr>
              <w:t>FA1</w:t>
            </w:r>
            <w:r w:rsidR="002C2DB5">
              <w:rPr>
                <w:rFonts w:ascii="Calibri" w:hAnsi="Calibri" w:cs="Calibri"/>
                <w:color w:val="000000"/>
                <w:lang w:eastAsia="en-NZ"/>
              </w:rPr>
              <w:t>3</w:t>
            </w:r>
            <w:r w:rsidRPr="00B57D1A">
              <w:rPr>
                <w:rFonts w:ascii="Calibri" w:hAnsi="Calibri" w:cs="Calibri"/>
                <w:color w:val="000000"/>
                <w:lang w:eastAsia="en-NZ"/>
              </w:rPr>
              <w:t>.1</w:t>
            </w:r>
          </w:p>
        </w:tc>
        <w:tc>
          <w:tcPr>
            <w:tcW w:w="1667" w:type="dxa"/>
            <w:tcBorders>
              <w:top w:val="nil"/>
              <w:left w:val="nil"/>
              <w:bottom w:val="single" w:sz="4" w:space="0" w:color="auto"/>
              <w:right w:val="single" w:sz="4" w:space="0" w:color="auto"/>
            </w:tcBorders>
            <w:shd w:val="clear" w:color="auto" w:fill="auto"/>
            <w:noWrap/>
            <w:vAlign w:val="center"/>
            <w:hideMark/>
          </w:tcPr>
          <w:p w14:paraId="36B2273D" w14:textId="77777777" w:rsidR="00875543" w:rsidRPr="00B57D1A" w:rsidRDefault="00875543" w:rsidP="00875543">
            <w:pPr>
              <w:spacing w:after="0" w:line="240" w:lineRule="auto"/>
              <w:jc w:val="center"/>
              <w:rPr>
                <w:rFonts w:ascii="Calibri" w:hAnsi="Calibri" w:cs="Calibri"/>
                <w:color w:val="000000"/>
                <w:lang w:eastAsia="en-NZ"/>
              </w:rPr>
            </w:pPr>
            <w:r w:rsidRPr="00B57D1A">
              <w:rPr>
                <w:rFonts w:ascii="Calibri" w:hAnsi="Calibri" w:cs="Calibri"/>
                <w:color w:val="000000"/>
                <w:lang w:eastAsia="en-NZ"/>
              </w:rPr>
              <w:t>1</w:t>
            </w:r>
          </w:p>
        </w:tc>
      </w:tr>
    </w:tbl>
    <w:p w14:paraId="6E962DA3" w14:textId="643325E2" w:rsidR="00873041" w:rsidRDefault="00873041">
      <w:pPr>
        <w:rPr>
          <w:b/>
          <w:bCs/>
        </w:rPr>
      </w:pPr>
      <w:r w:rsidRPr="008E00E9">
        <w:rPr>
          <w:b/>
          <w:bCs/>
        </w:rPr>
        <w:br w:type="page"/>
      </w:r>
    </w:p>
    <w:tbl>
      <w:tblPr>
        <w:tblStyle w:val="TableGrid"/>
        <w:tblW w:w="15304" w:type="dxa"/>
        <w:tblLayout w:type="fixed"/>
        <w:tblLook w:val="04A0" w:firstRow="1" w:lastRow="0" w:firstColumn="1" w:lastColumn="0" w:noHBand="0" w:noVBand="1"/>
      </w:tblPr>
      <w:tblGrid>
        <w:gridCol w:w="4673"/>
        <w:gridCol w:w="10631"/>
      </w:tblGrid>
      <w:tr w:rsidR="007E6CC2" w:rsidRPr="00327B6B" w14:paraId="6C4118A8" w14:textId="77777777" w:rsidTr="00BC42F2">
        <w:trPr>
          <w:trHeight w:val="464"/>
        </w:trPr>
        <w:tc>
          <w:tcPr>
            <w:tcW w:w="4673" w:type="dxa"/>
            <w:shd w:val="clear" w:color="auto" w:fill="000000" w:themeFill="text1"/>
            <w:vAlign w:val="center"/>
          </w:tcPr>
          <w:p w14:paraId="20955484" w14:textId="7C2E5418" w:rsidR="007E6CC2" w:rsidRPr="00495378" w:rsidRDefault="00495378" w:rsidP="006929A3">
            <w:pPr>
              <w:tabs>
                <w:tab w:val="left" w:pos="11064"/>
              </w:tabs>
              <w:rPr>
                <w:b/>
                <w:bCs/>
                <w:sz w:val="24"/>
                <w:szCs w:val="24"/>
              </w:rPr>
            </w:pPr>
            <w:r w:rsidRPr="00495378">
              <w:rPr>
                <w:b/>
                <w:bCs/>
                <w:sz w:val="24"/>
                <w:szCs w:val="24"/>
              </w:rPr>
              <w:lastRenderedPageBreak/>
              <w:t>Focus Area</w:t>
            </w:r>
            <w:r>
              <w:rPr>
                <w:b/>
                <w:bCs/>
                <w:sz w:val="24"/>
                <w:szCs w:val="24"/>
              </w:rPr>
              <w:t>s</w:t>
            </w:r>
          </w:p>
        </w:tc>
        <w:tc>
          <w:tcPr>
            <w:tcW w:w="10631" w:type="dxa"/>
            <w:shd w:val="clear" w:color="auto" w:fill="000000" w:themeFill="text1"/>
            <w:vAlign w:val="center"/>
          </w:tcPr>
          <w:p w14:paraId="1BD801FB" w14:textId="3540DC4B" w:rsidR="007E6CC2" w:rsidRPr="00414BF2" w:rsidRDefault="007E6CC2" w:rsidP="006929A3">
            <w:pPr>
              <w:tabs>
                <w:tab w:val="left" w:pos="1100"/>
              </w:tabs>
              <w:rPr>
                <w:b/>
                <w:bCs/>
                <w:sz w:val="24"/>
                <w:szCs w:val="24"/>
              </w:rPr>
            </w:pPr>
            <w:r w:rsidRPr="00327B6B">
              <w:rPr>
                <w:b/>
                <w:bCs/>
                <w:sz w:val="24"/>
                <w:szCs w:val="24"/>
              </w:rPr>
              <w:t>Actions</w:t>
            </w:r>
          </w:p>
        </w:tc>
      </w:tr>
      <w:tr w:rsidR="006116C9" w:rsidRPr="00327B6B" w14:paraId="17900AE4" w14:textId="77777777" w:rsidTr="00BC42F2">
        <w:trPr>
          <w:trHeight w:val="464"/>
        </w:trPr>
        <w:tc>
          <w:tcPr>
            <w:tcW w:w="15304" w:type="dxa"/>
            <w:gridSpan w:val="2"/>
            <w:shd w:val="clear" w:color="auto" w:fill="D9D9D9" w:themeFill="background1" w:themeFillShade="D9"/>
            <w:vAlign w:val="center"/>
          </w:tcPr>
          <w:p w14:paraId="4DA74E50" w14:textId="78FA992F" w:rsidR="006116C9" w:rsidRDefault="006116C9" w:rsidP="006929A3">
            <w:pPr>
              <w:tabs>
                <w:tab w:val="left" w:pos="11064"/>
              </w:tabs>
              <w:rPr>
                <w:b/>
                <w:sz w:val="24"/>
                <w:szCs w:val="24"/>
              </w:rPr>
            </w:pPr>
            <w:r>
              <w:rPr>
                <w:b/>
                <w:sz w:val="24"/>
                <w:szCs w:val="24"/>
              </w:rPr>
              <w:t>FA1: Acknowledgement</w:t>
            </w:r>
          </w:p>
        </w:tc>
      </w:tr>
      <w:tr w:rsidR="007E6CC2" w:rsidRPr="00414BF2" w14:paraId="239F6605" w14:textId="77777777" w:rsidTr="00BC42F2">
        <w:trPr>
          <w:trHeight w:val="567"/>
        </w:trPr>
        <w:tc>
          <w:tcPr>
            <w:tcW w:w="4673" w:type="dxa"/>
            <w:vMerge w:val="restart"/>
          </w:tcPr>
          <w:p w14:paraId="0BFE9D9B" w14:textId="242E23D1" w:rsidR="007E6CC2" w:rsidRPr="002343BE" w:rsidRDefault="007E6CC2" w:rsidP="006929A3">
            <w:pPr>
              <w:tabs>
                <w:tab w:val="left" w:pos="11064"/>
              </w:tabs>
              <w:contextualSpacing/>
              <w:rPr>
                <w:b/>
                <w:bCs/>
              </w:rPr>
            </w:pPr>
            <w:r w:rsidRPr="002343BE">
              <w:rPr>
                <w:b/>
                <w:bCs/>
              </w:rPr>
              <w:t>FA1.1</w:t>
            </w:r>
          </w:p>
          <w:p w14:paraId="41F0EF71" w14:textId="77777777" w:rsidR="007E6CC2" w:rsidRPr="00414BF2" w:rsidRDefault="007E6CC2" w:rsidP="006929A3">
            <w:pPr>
              <w:tabs>
                <w:tab w:val="left" w:pos="11064"/>
              </w:tabs>
              <w:contextualSpacing/>
            </w:pPr>
            <w:r w:rsidRPr="00414BF2">
              <w:t xml:space="preserve">CNZ and HPSNZ must take shared responsibility for the unresolved trauma many stakeholders still suffer </w:t>
            </w:r>
            <w:proofErr w:type="gramStart"/>
            <w:r w:rsidRPr="00414BF2">
              <w:t>as a result of</w:t>
            </w:r>
            <w:proofErr w:type="gramEnd"/>
            <w:r w:rsidRPr="00414BF2">
              <w:t xml:space="preserve"> the HPP subsequent to 2016. That trauma needs to be recognised and acknowledged to help restore the mana of the individuals concerned and of HPNSZ and CNZ. This is also crucial to healing and moving forward.</w:t>
            </w:r>
          </w:p>
          <w:p w14:paraId="531E9B5D" w14:textId="77777777" w:rsidR="007E6CC2" w:rsidRPr="00414BF2" w:rsidRDefault="007E6CC2" w:rsidP="006929A3">
            <w:pPr>
              <w:tabs>
                <w:tab w:val="left" w:pos="11064"/>
              </w:tabs>
              <w:contextualSpacing/>
            </w:pPr>
          </w:p>
        </w:tc>
        <w:tc>
          <w:tcPr>
            <w:tcW w:w="10631" w:type="dxa"/>
          </w:tcPr>
          <w:p w14:paraId="6D246C54" w14:textId="0AE30917" w:rsidR="007E6CC2" w:rsidRPr="00414BF2" w:rsidRDefault="007E6CC2" w:rsidP="006929A3">
            <w:pPr>
              <w:tabs>
                <w:tab w:val="left" w:pos="11064"/>
              </w:tabs>
              <w:rPr>
                <w:rFonts w:cs="Calibri"/>
              </w:rPr>
            </w:pPr>
            <w:r w:rsidRPr="006B56F0">
              <w:rPr>
                <w:rFonts w:cs="Calibri"/>
              </w:rPr>
              <w:t>CNZ and HPSNZ accepted Inquiry report and apologised publicly &amp; privately for trauma caused.</w:t>
            </w:r>
          </w:p>
        </w:tc>
      </w:tr>
      <w:tr w:rsidR="007E6CC2" w:rsidRPr="00414BF2" w14:paraId="48958CBB" w14:textId="77777777" w:rsidTr="00BC42F2">
        <w:trPr>
          <w:trHeight w:val="567"/>
        </w:trPr>
        <w:tc>
          <w:tcPr>
            <w:tcW w:w="4673" w:type="dxa"/>
            <w:vMerge/>
          </w:tcPr>
          <w:p w14:paraId="3519A02A" w14:textId="77777777" w:rsidR="007E6CC2" w:rsidRPr="00414BF2" w:rsidRDefault="007E6CC2" w:rsidP="006929A3">
            <w:pPr>
              <w:tabs>
                <w:tab w:val="left" w:pos="11064"/>
              </w:tabs>
              <w:contextualSpacing/>
            </w:pPr>
          </w:p>
        </w:tc>
        <w:tc>
          <w:tcPr>
            <w:tcW w:w="10631" w:type="dxa"/>
          </w:tcPr>
          <w:p w14:paraId="4296DAB7" w14:textId="65B2A6D1" w:rsidR="007E6CC2" w:rsidRPr="00414BF2" w:rsidRDefault="007E6CC2" w:rsidP="006929A3">
            <w:pPr>
              <w:tabs>
                <w:tab w:val="left" w:pos="11064"/>
              </w:tabs>
              <w:rPr>
                <w:rFonts w:cs="Calibri"/>
              </w:rPr>
            </w:pPr>
            <w:r w:rsidRPr="006B56F0">
              <w:rPr>
                <w:rFonts w:cs="Calibri"/>
              </w:rPr>
              <w:t xml:space="preserve">Propose statements of commitment from Board as next steps are announced. </w:t>
            </w:r>
          </w:p>
        </w:tc>
      </w:tr>
      <w:tr w:rsidR="007E6CC2" w:rsidRPr="00414BF2" w14:paraId="7CE85EB2" w14:textId="77777777" w:rsidTr="00BC42F2">
        <w:trPr>
          <w:trHeight w:val="567"/>
        </w:trPr>
        <w:tc>
          <w:tcPr>
            <w:tcW w:w="4673" w:type="dxa"/>
            <w:vMerge/>
          </w:tcPr>
          <w:p w14:paraId="2C44C298" w14:textId="77777777" w:rsidR="007E6CC2" w:rsidRPr="00414BF2" w:rsidRDefault="007E6CC2" w:rsidP="006929A3">
            <w:pPr>
              <w:tabs>
                <w:tab w:val="left" w:pos="11064"/>
              </w:tabs>
              <w:contextualSpacing/>
            </w:pPr>
          </w:p>
        </w:tc>
        <w:tc>
          <w:tcPr>
            <w:tcW w:w="10631" w:type="dxa"/>
          </w:tcPr>
          <w:p w14:paraId="1E8A18EC" w14:textId="4245AE52" w:rsidR="007E6CC2" w:rsidRPr="00414BF2" w:rsidRDefault="007E6CC2" w:rsidP="006929A3">
            <w:pPr>
              <w:tabs>
                <w:tab w:val="left" w:pos="11064"/>
              </w:tabs>
              <w:rPr>
                <w:rFonts w:cs="Calibri"/>
              </w:rPr>
            </w:pPr>
            <w:r w:rsidRPr="006B56F0">
              <w:rPr>
                <w:rFonts w:cs="Calibri"/>
              </w:rPr>
              <w:t>Ongoing commitment to standards, appropriate high-performance culture, wellbeing, and integrity.</w:t>
            </w:r>
          </w:p>
        </w:tc>
      </w:tr>
      <w:tr w:rsidR="007E6CC2" w:rsidRPr="00414BF2" w14:paraId="52909C5B" w14:textId="77777777" w:rsidTr="00BC42F2">
        <w:trPr>
          <w:trHeight w:val="567"/>
        </w:trPr>
        <w:tc>
          <w:tcPr>
            <w:tcW w:w="4673" w:type="dxa"/>
            <w:vMerge/>
          </w:tcPr>
          <w:p w14:paraId="7985C514" w14:textId="77777777" w:rsidR="007E6CC2" w:rsidRPr="00414BF2" w:rsidRDefault="007E6CC2" w:rsidP="006929A3">
            <w:pPr>
              <w:tabs>
                <w:tab w:val="left" w:pos="11064"/>
              </w:tabs>
              <w:contextualSpacing/>
            </w:pPr>
          </w:p>
        </w:tc>
        <w:tc>
          <w:tcPr>
            <w:tcW w:w="10631" w:type="dxa"/>
          </w:tcPr>
          <w:p w14:paraId="1BE67832" w14:textId="77777777" w:rsidR="007E6CC2" w:rsidRPr="006B56F0" w:rsidRDefault="007E6CC2" w:rsidP="006929A3">
            <w:pPr>
              <w:tabs>
                <w:tab w:val="left" w:pos="11064"/>
              </w:tabs>
              <w:rPr>
                <w:rFonts w:cs="Calibri"/>
              </w:rPr>
            </w:pPr>
            <w:r w:rsidRPr="006B56F0">
              <w:rPr>
                <w:rFonts w:cs="Calibri"/>
              </w:rPr>
              <w:t>CNZ to initiate a mediation and triage process to address unresolved issues for its immediate community. This requires investigation by CNZ and CISC.</w:t>
            </w:r>
          </w:p>
        </w:tc>
      </w:tr>
      <w:tr w:rsidR="007E6CC2" w:rsidRPr="00414BF2" w14:paraId="5A53A387" w14:textId="77777777" w:rsidTr="00BC42F2">
        <w:trPr>
          <w:trHeight w:val="567"/>
        </w:trPr>
        <w:tc>
          <w:tcPr>
            <w:tcW w:w="4673" w:type="dxa"/>
            <w:vMerge/>
          </w:tcPr>
          <w:p w14:paraId="2AB5A1DB" w14:textId="77777777" w:rsidR="007E6CC2" w:rsidRPr="00414BF2" w:rsidRDefault="007E6CC2" w:rsidP="006929A3">
            <w:pPr>
              <w:tabs>
                <w:tab w:val="left" w:pos="11064"/>
              </w:tabs>
              <w:contextualSpacing/>
            </w:pPr>
          </w:p>
        </w:tc>
        <w:tc>
          <w:tcPr>
            <w:tcW w:w="10631" w:type="dxa"/>
          </w:tcPr>
          <w:p w14:paraId="150F15AB" w14:textId="7E69EDAF" w:rsidR="007E6CC2" w:rsidRPr="006B56F0" w:rsidRDefault="007E6CC2" w:rsidP="006929A3">
            <w:pPr>
              <w:tabs>
                <w:tab w:val="left" w:pos="11064"/>
              </w:tabs>
              <w:rPr>
                <w:rFonts w:cs="Calibri"/>
              </w:rPr>
            </w:pPr>
            <w:r>
              <w:rPr>
                <w:rFonts w:cs="Calibri"/>
              </w:rPr>
              <w:t>CNZ to include further connection / reference to wellbeing here</w:t>
            </w:r>
          </w:p>
        </w:tc>
      </w:tr>
      <w:tr w:rsidR="00977E3C" w:rsidRPr="00414BF2" w14:paraId="7B16D19B" w14:textId="77777777" w:rsidTr="00BC42F2">
        <w:trPr>
          <w:trHeight w:val="484"/>
        </w:trPr>
        <w:tc>
          <w:tcPr>
            <w:tcW w:w="15304" w:type="dxa"/>
            <w:gridSpan w:val="2"/>
            <w:shd w:val="clear" w:color="auto" w:fill="D9D9D9" w:themeFill="background1" w:themeFillShade="D9"/>
          </w:tcPr>
          <w:p w14:paraId="44F82DEF" w14:textId="77777777" w:rsidR="00977E3C" w:rsidRDefault="00977E3C" w:rsidP="00977E3C">
            <w:pPr>
              <w:tabs>
                <w:tab w:val="left" w:pos="11064"/>
              </w:tabs>
              <w:rPr>
                <w:b/>
                <w:bCs/>
                <w:sz w:val="24"/>
                <w:szCs w:val="24"/>
              </w:rPr>
            </w:pPr>
            <w:r w:rsidRPr="4CE4E498">
              <w:rPr>
                <w:b/>
                <w:bCs/>
                <w:sz w:val="24"/>
                <w:szCs w:val="24"/>
              </w:rPr>
              <w:t>FA2: Psychological Safety &amp; Wellbeing</w:t>
            </w:r>
          </w:p>
          <w:p w14:paraId="0F9FA8AE" w14:textId="3750BE32" w:rsidR="00977E3C" w:rsidRPr="006116C9" w:rsidRDefault="00977E3C" w:rsidP="006929A3">
            <w:pPr>
              <w:tabs>
                <w:tab w:val="left" w:pos="11064"/>
              </w:tabs>
            </w:pPr>
            <w:r w:rsidRPr="005A2903">
              <w:t>CNZ (&amp; HPSNZ) ensures psychological safety within its HP programme with the wellbeing of athletes and others in the programme, being the foundation upon which performance is built.</w:t>
            </w:r>
          </w:p>
        </w:tc>
      </w:tr>
      <w:tr w:rsidR="00977E3C" w:rsidRPr="00414BF2" w14:paraId="47C30F7F" w14:textId="77777777" w:rsidTr="00BC42F2">
        <w:trPr>
          <w:trHeight w:val="484"/>
        </w:trPr>
        <w:tc>
          <w:tcPr>
            <w:tcW w:w="4673" w:type="dxa"/>
            <w:vMerge w:val="restart"/>
          </w:tcPr>
          <w:p w14:paraId="4D3F11AB" w14:textId="77777777" w:rsidR="00977E3C" w:rsidRPr="002343BE" w:rsidRDefault="00977E3C" w:rsidP="00977E3C">
            <w:pPr>
              <w:tabs>
                <w:tab w:val="left" w:pos="11064"/>
              </w:tabs>
              <w:rPr>
                <w:b/>
                <w:bCs/>
              </w:rPr>
            </w:pPr>
            <w:r w:rsidRPr="002343BE">
              <w:rPr>
                <w:b/>
                <w:bCs/>
              </w:rPr>
              <w:t>FA2.1</w:t>
            </w:r>
          </w:p>
          <w:p w14:paraId="07959A60" w14:textId="77777777" w:rsidR="00977E3C" w:rsidRPr="005C2302" w:rsidRDefault="00977E3C" w:rsidP="00977E3C">
            <w:pPr>
              <w:tabs>
                <w:tab w:val="left" w:pos="11064"/>
              </w:tabs>
            </w:pPr>
            <w:r w:rsidRPr="005C2302">
              <w:t>CNZ and HPSNZ collectively develop a HPP that ensures psychological safety, with the wellbeing of athletes and others being the foundation on which performance is built. This includes athletes having voice in decisions that impact them, and which recognises that there is no "one size fits all" for wellbeing.</w:t>
            </w:r>
          </w:p>
          <w:p w14:paraId="2ACBDCD1" w14:textId="77777777" w:rsidR="00977E3C" w:rsidRPr="00414BF2" w:rsidRDefault="00977E3C" w:rsidP="00977E3C">
            <w:pPr>
              <w:tabs>
                <w:tab w:val="left" w:pos="11064"/>
              </w:tabs>
              <w:contextualSpacing/>
            </w:pPr>
          </w:p>
        </w:tc>
        <w:tc>
          <w:tcPr>
            <w:tcW w:w="10631" w:type="dxa"/>
          </w:tcPr>
          <w:p w14:paraId="454D7268" w14:textId="77777777" w:rsidR="00977E3C" w:rsidRPr="00414BF2" w:rsidRDefault="00977E3C" w:rsidP="00977E3C">
            <w:pPr>
              <w:tabs>
                <w:tab w:val="left" w:pos="11064"/>
              </w:tabs>
            </w:pPr>
            <w:r w:rsidRPr="00414BF2">
              <w:t>CNZ &amp; HPSNZ to discuss &amp; agree actions overall to the Inquiry.</w:t>
            </w:r>
          </w:p>
          <w:p w14:paraId="69E315AA" w14:textId="7BDD120D" w:rsidR="00977E3C" w:rsidRPr="00450332" w:rsidRDefault="00977E3C" w:rsidP="00977E3C">
            <w:pPr>
              <w:tabs>
                <w:tab w:val="left" w:pos="11064"/>
              </w:tabs>
            </w:pPr>
            <w:r w:rsidRPr="00414BF2">
              <w:t>CNZ to announce its commitment in this area</w:t>
            </w:r>
            <w:r>
              <w:t>.</w:t>
            </w:r>
          </w:p>
        </w:tc>
      </w:tr>
      <w:tr w:rsidR="00977E3C" w:rsidRPr="00414BF2" w14:paraId="18DE9637" w14:textId="77777777" w:rsidTr="00BC42F2">
        <w:trPr>
          <w:trHeight w:val="484"/>
        </w:trPr>
        <w:tc>
          <w:tcPr>
            <w:tcW w:w="4673" w:type="dxa"/>
            <w:vMerge/>
          </w:tcPr>
          <w:p w14:paraId="72330361" w14:textId="77777777" w:rsidR="00977E3C" w:rsidRPr="00414BF2" w:rsidRDefault="00977E3C" w:rsidP="00977E3C">
            <w:pPr>
              <w:tabs>
                <w:tab w:val="left" w:pos="11064"/>
              </w:tabs>
              <w:contextualSpacing/>
            </w:pPr>
          </w:p>
        </w:tc>
        <w:tc>
          <w:tcPr>
            <w:tcW w:w="10631" w:type="dxa"/>
          </w:tcPr>
          <w:p w14:paraId="2A159414" w14:textId="346C4416" w:rsidR="00977E3C" w:rsidRPr="00450332" w:rsidRDefault="00977E3C" w:rsidP="00977E3C">
            <w:pPr>
              <w:tabs>
                <w:tab w:val="left" w:pos="11064"/>
              </w:tabs>
            </w:pPr>
            <w:r w:rsidRPr="00414BF2">
              <w:t>HPSNZ released a 10</w:t>
            </w:r>
            <w:r>
              <w:t>-</w:t>
            </w:r>
            <w:r w:rsidRPr="00414BF2">
              <w:t xml:space="preserve">Point Action Plan in late July in response to Inquiry. CNZ to align with intent and implementation in HP setting.  </w:t>
            </w:r>
          </w:p>
        </w:tc>
      </w:tr>
      <w:tr w:rsidR="00977E3C" w:rsidRPr="00414BF2" w14:paraId="7D6D2F9B" w14:textId="77777777" w:rsidTr="00BC42F2">
        <w:trPr>
          <w:trHeight w:val="484"/>
        </w:trPr>
        <w:tc>
          <w:tcPr>
            <w:tcW w:w="4673" w:type="dxa"/>
            <w:vMerge/>
          </w:tcPr>
          <w:p w14:paraId="4F179279" w14:textId="77777777" w:rsidR="00977E3C" w:rsidRPr="00414BF2" w:rsidRDefault="00977E3C" w:rsidP="00977E3C">
            <w:pPr>
              <w:tabs>
                <w:tab w:val="left" w:pos="11064"/>
              </w:tabs>
              <w:contextualSpacing/>
            </w:pPr>
          </w:p>
        </w:tc>
        <w:tc>
          <w:tcPr>
            <w:tcW w:w="10631" w:type="dxa"/>
          </w:tcPr>
          <w:p w14:paraId="565B08CB" w14:textId="6EB421D5" w:rsidR="00977E3C" w:rsidRPr="00450332" w:rsidRDefault="00977E3C" w:rsidP="00977E3C">
            <w:pPr>
              <w:tabs>
                <w:tab w:val="left" w:pos="11064"/>
              </w:tabs>
            </w:pPr>
            <w:r w:rsidRPr="00414BF2">
              <w:t xml:space="preserve">CNZ to define ‘psychological safety’ as it applies to its HP and articulate the values and philosophy of its </w:t>
            </w:r>
            <w:proofErr w:type="gramStart"/>
            <w:r w:rsidRPr="00414BF2">
              <w:t>high performance</w:t>
            </w:r>
            <w:proofErr w:type="gramEnd"/>
            <w:r w:rsidRPr="00414BF2">
              <w:t xml:space="preserve"> programme. </w:t>
            </w:r>
          </w:p>
        </w:tc>
      </w:tr>
      <w:tr w:rsidR="00977E3C" w:rsidRPr="00414BF2" w14:paraId="60F2AF8C" w14:textId="77777777" w:rsidTr="00BC42F2">
        <w:trPr>
          <w:trHeight w:val="484"/>
        </w:trPr>
        <w:tc>
          <w:tcPr>
            <w:tcW w:w="4673" w:type="dxa"/>
            <w:vMerge/>
          </w:tcPr>
          <w:p w14:paraId="089DA4E1" w14:textId="77777777" w:rsidR="00977E3C" w:rsidRPr="00414BF2" w:rsidRDefault="00977E3C" w:rsidP="00977E3C">
            <w:pPr>
              <w:tabs>
                <w:tab w:val="left" w:pos="11064"/>
              </w:tabs>
              <w:contextualSpacing/>
            </w:pPr>
          </w:p>
        </w:tc>
        <w:tc>
          <w:tcPr>
            <w:tcW w:w="10631" w:type="dxa"/>
          </w:tcPr>
          <w:p w14:paraId="246F2DCE" w14:textId="6AE2C058" w:rsidR="00977E3C" w:rsidRDefault="00977E3C" w:rsidP="00977E3C">
            <w:pPr>
              <w:tabs>
                <w:tab w:val="left" w:pos="11064"/>
              </w:tabs>
            </w:pPr>
            <w:r w:rsidRPr="00414BF2">
              <w:t>CNZ to assess the current state of culture, within HP, and across the organisation</w:t>
            </w:r>
            <w:r>
              <w:t>.</w:t>
            </w:r>
          </w:p>
          <w:p w14:paraId="22CB0104" w14:textId="583CFBDF" w:rsidR="00977E3C" w:rsidRDefault="00977E3C" w:rsidP="00977E3C">
            <w:pPr>
              <w:tabs>
                <w:tab w:val="left" w:pos="11064"/>
              </w:tabs>
              <w:rPr>
                <w:rFonts w:cs="Calibri"/>
              </w:rPr>
            </w:pPr>
            <w:r w:rsidRPr="00414BF2">
              <w:t>Develop strategies and interventions to build and sustain a strong, aligned, values-based culture, within HP and across CNZ</w:t>
            </w:r>
            <w:r>
              <w:t>.</w:t>
            </w:r>
          </w:p>
        </w:tc>
      </w:tr>
      <w:tr w:rsidR="00977E3C" w:rsidRPr="00414BF2" w14:paraId="7687A878" w14:textId="77777777" w:rsidTr="00BC42F2">
        <w:trPr>
          <w:trHeight w:val="484"/>
        </w:trPr>
        <w:tc>
          <w:tcPr>
            <w:tcW w:w="4673" w:type="dxa"/>
            <w:vMerge/>
          </w:tcPr>
          <w:p w14:paraId="7E31FC74" w14:textId="77777777" w:rsidR="00977E3C" w:rsidRPr="00414BF2" w:rsidRDefault="00977E3C" w:rsidP="00977E3C">
            <w:pPr>
              <w:tabs>
                <w:tab w:val="left" w:pos="11064"/>
              </w:tabs>
              <w:contextualSpacing/>
            </w:pPr>
          </w:p>
        </w:tc>
        <w:tc>
          <w:tcPr>
            <w:tcW w:w="10631" w:type="dxa"/>
          </w:tcPr>
          <w:p w14:paraId="6ADCC885" w14:textId="03DA8260" w:rsidR="00977E3C" w:rsidRDefault="00977E3C" w:rsidP="00977E3C">
            <w:pPr>
              <w:tabs>
                <w:tab w:val="left" w:pos="11064"/>
              </w:tabs>
            </w:pPr>
            <w:r w:rsidRPr="00414BF2">
              <w:t>CNZ continue work across the organisation, including HPP to confirm &amp; clearly articulate the philosophy, the foundations, &amp; articulate athlete centred approach</w:t>
            </w:r>
            <w:r>
              <w:t>.</w:t>
            </w:r>
          </w:p>
          <w:p w14:paraId="5EAEE4AD" w14:textId="330590FA" w:rsidR="00977E3C" w:rsidRDefault="00977E3C" w:rsidP="00977E3C">
            <w:pPr>
              <w:tabs>
                <w:tab w:val="left" w:pos="11064"/>
              </w:tabs>
              <w:rPr>
                <w:rFonts w:cs="Calibri"/>
              </w:rPr>
            </w:pPr>
            <w:r w:rsidRPr="00414BF2">
              <w:t>Define behaviours, standards, expectations</w:t>
            </w:r>
            <w:r>
              <w:t>.</w:t>
            </w:r>
            <w:r w:rsidRPr="00414BF2">
              <w:t xml:space="preserve"> </w:t>
            </w:r>
          </w:p>
        </w:tc>
      </w:tr>
      <w:tr w:rsidR="00977E3C" w:rsidRPr="00414BF2" w14:paraId="12382123" w14:textId="77777777" w:rsidTr="00BC42F2">
        <w:trPr>
          <w:trHeight w:val="484"/>
        </w:trPr>
        <w:tc>
          <w:tcPr>
            <w:tcW w:w="4673" w:type="dxa"/>
            <w:vMerge/>
          </w:tcPr>
          <w:p w14:paraId="359C2617" w14:textId="77777777" w:rsidR="00977E3C" w:rsidRPr="00414BF2" w:rsidRDefault="00977E3C" w:rsidP="00977E3C">
            <w:pPr>
              <w:tabs>
                <w:tab w:val="left" w:pos="11064"/>
              </w:tabs>
              <w:contextualSpacing/>
            </w:pPr>
          </w:p>
        </w:tc>
        <w:tc>
          <w:tcPr>
            <w:tcW w:w="10631" w:type="dxa"/>
          </w:tcPr>
          <w:p w14:paraId="0B3B3044" w14:textId="1F457C1F" w:rsidR="00977E3C" w:rsidRDefault="00977E3C" w:rsidP="00977E3C">
            <w:pPr>
              <w:tabs>
                <w:tab w:val="left" w:pos="11064"/>
              </w:tabs>
            </w:pPr>
            <w:r w:rsidRPr="00414BF2">
              <w:t xml:space="preserve">HP Cycling Forum milestone opportunity – Nov 2022 and 2023. All HP personnel, coaches, athletes, other.  </w:t>
            </w:r>
          </w:p>
          <w:p w14:paraId="426E0810" w14:textId="0ADA9115" w:rsidR="00977E3C" w:rsidRPr="00450332" w:rsidRDefault="00977E3C" w:rsidP="00977E3C">
            <w:pPr>
              <w:tabs>
                <w:tab w:val="left" w:pos="11064"/>
              </w:tabs>
            </w:pPr>
            <w:r w:rsidRPr="00414BF2">
              <w:t>Consider all other opportunities to share values, expectations, priorities re</w:t>
            </w:r>
            <w:r>
              <w:t>garding</w:t>
            </w:r>
            <w:r w:rsidRPr="00414BF2">
              <w:t xml:space="preserve"> HP culture within CNZ community</w:t>
            </w:r>
            <w:r>
              <w:t>.</w:t>
            </w:r>
            <w:r w:rsidRPr="00414BF2">
              <w:t xml:space="preserve"> </w:t>
            </w:r>
          </w:p>
        </w:tc>
      </w:tr>
      <w:tr w:rsidR="00977E3C" w:rsidRPr="00414BF2" w14:paraId="383B71B2" w14:textId="77777777" w:rsidTr="00BC42F2">
        <w:trPr>
          <w:trHeight w:val="484"/>
        </w:trPr>
        <w:tc>
          <w:tcPr>
            <w:tcW w:w="4673" w:type="dxa"/>
            <w:vMerge/>
          </w:tcPr>
          <w:p w14:paraId="73F63838" w14:textId="77777777" w:rsidR="00977E3C" w:rsidRPr="00414BF2" w:rsidRDefault="00977E3C" w:rsidP="00977E3C">
            <w:pPr>
              <w:tabs>
                <w:tab w:val="left" w:pos="11064"/>
              </w:tabs>
              <w:contextualSpacing/>
            </w:pPr>
          </w:p>
        </w:tc>
        <w:tc>
          <w:tcPr>
            <w:tcW w:w="10631" w:type="dxa"/>
          </w:tcPr>
          <w:p w14:paraId="47D7AE03" w14:textId="2B61C32E" w:rsidR="00977E3C" w:rsidRDefault="00977E3C" w:rsidP="00977E3C">
            <w:pPr>
              <w:tabs>
                <w:tab w:val="left" w:pos="11064"/>
              </w:tabs>
              <w:rPr>
                <w:rFonts w:cs="Calibri"/>
              </w:rPr>
            </w:pPr>
            <w:r w:rsidRPr="00414BF2">
              <w:t>Consider a programme of professional development (training, support, mentoring) relevant for</w:t>
            </w:r>
            <w:r w:rsidRPr="006A21C5">
              <w:rPr>
                <w:b/>
                <w:bCs/>
              </w:rPr>
              <w:t xml:space="preserve"> all</w:t>
            </w:r>
            <w:r w:rsidRPr="00414BF2">
              <w:t xml:space="preserve"> CNZ</w:t>
            </w:r>
            <w:r>
              <w:t xml:space="preserve"> personnel </w:t>
            </w:r>
            <w:r w:rsidRPr="00414BF2">
              <w:t>in areas that will assist create a sustainable wellbeing focussed workplace and embed in the culture.  Respond to evaluation and needs analysis.</w:t>
            </w:r>
          </w:p>
        </w:tc>
      </w:tr>
      <w:tr w:rsidR="00C10BF5" w:rsidRPr="00414BF2" w14:paraId="0465AFAB" w14:textId="77777777" w:rsidTr="00BC42F2">
        <w:trPr>
          <w:trHeight w:val="484"/>
        </w:trPr>
        <w:tc>
          <w:tcPr>
            <w:tcW w:w="15304" w:type="dxa"/>
            <w:gridSpan w:val="2"/>
            <w:shd w:val="clear" w:color="auto" w:fill="D9D9D9" w:themeFill="background1" w:themeFillShade="D9"/>
          </w:tcPr>
          <w:p w14:paraId="1666BD69" w14:textId="77777777" w:rsidR="00C10BF5" w:rsidRDefault="00C10BF5" w:rsidP="00C10BF5">
            <w:pPr>
              <w:tabs>
                <w:tab w:val="left" w:pos="11064"/>
              </w:tabs>
              <w:rPr>
                <w:b/>
                <w:sz w:val="24"/>
                <w:szCs w:val="24"/>
              </w:rPr>
            </w:pPr>
            <w:r>
              <w:rPr>
                <w:b/>
                <w:sz w:val="24"/>
                <w:szCs w:val="24"/>
              </w:rPr>
              <w:lastRenderedPageBreak/>
              <w:t xml:space="preserve">FA3: </w:t>
            </w:r>
            <w:r w:rsidRPr="00AF73A9">
              <w:rPr>
                <w:b/>
                <w:sz w:val="24"/>
                <w:szCs w:val="24"/>
              </w:rPr>
              <w:t>Cultur</w:t>
            </w:r>
            <w:r>
              <w:rPr>
                <w:b/>
                <w:sz w:val="24"/>
                <w:szCs w:val="24"/>
              </w:rPr>
              <w:t>al Transformation</w:t>
            </w:r>
          </w:p>
          <w:p w14:paraId="7E7D2880" w14:textId="77777777" w:rsidR="00C10BF5" w:rsidRDefault="00C10BF5" w:rsidP="00C10BF5">
            <w:pPr>
              <w:tabs>
                <w:tab w:val="left" w:pos="11064"/>
              </w:tabs>
              <w:rPr>
                <w:b/>
                <w:sz w:val="24"/>
                <w:szCs w:val="24"/>
              </w:rPr>
            </w:pPr>
            <w:r w:rsidRPr="004F6BBF">
              <w:rPr>
                <w:rFonts w:cs="Calibri"/>
              </w:rPr>
              <w:t>CNZ (&amp; HPSNZ) work together to develop and promote a performance culture based on openness, inclusivity, diversity empowerment, consultation, and integrity.</w:t>
            </w:r>
          </w:p>
          <w:p w14:paraId="44E79C58" w14:textId="77777777" w:rsidR="00C10BF5" w:rsidRPr="00414BF2" w:rsidRDefault="00C10BF5" w:rsidP="00977E3C">
            <w:pPr>
              <w:tabs>
                <w:tab w:val="left" w:pos="11064"/>
              </w:tabs>
            </w:pPr>
          </w:p>
        </w:tc>
      </w:tr>
      <w:tr w:rsidR="00667583" w:rsidRPr="00414BF2" w14:paraId="11F9DB51" w14:textId="77777777" w:rsidTr="00BC42F2">
        <w:trPr>
          <w:trHeight w:val="484"/>
        </w:trPr>
        <w:tc>
          <w:tcPr>
            <w:tcW w:w="4673" w:type="dxa"/>
          </w:tcPr>
          <w:p w14:paraId="510B582A" w14:textId="77777777" w:rsidR="00667583" w:rsidRPr="002343BE" w:rsidRDefault="00667583" w:rsidP="00667583">
            <w:pPr>
              <w:rPr>
                <w:b/>
                <w:bCs/>
              </w:rPr>
            </w:pPr>
            <w:r w:rsidRPr="002343BE">
              <w:rPr>
                <w:b/>
                <w:bCs/>
              </w:rPr>
              <w:t xml:space="preserve">FA3.1 </w:t>
            </w:r>
          </w:p>
          <w:p w14:paraId="3B4230CE" w14:textId="77777777" w:rsidR="00667583" w:rsidRPr="00D219AD" w:rsidRDefault="00667583" w:rsidP="00667583">
            <w:r w:rsidRPr="00D219AD">
              <w:t>CNZ and HPSNZ must work together to ensure culture change within the HPP</w:t>
            </w:r>
          </w:p>
          <w:p w14:paraId="615ED004" w14:textId="77777777" w:rsidR="00667583" w:rsidRPr="00414BF2" w:rsidRDefault="00667583" w:rsidP="00667583">
            <w:pPr>
              <w:tabs>
                <w:tab w:val="left" w:pos="11064"/>
              </w:tabs>
              <w:contextualSpacing/>
            </w:pPr>
          </w:p>
        </w:tc>
        <w:tc>
          <w:tcPr>
            <w:tcW w:w="10631" w:type="dxa"/>
          </w:tcPr>
          <w:p w14:paraId="0D5F0971" w14:textId="228C8806" w:rsidR="00667583" w:rsidRPr="00414BF2" w:rsidRDefault="00667583" w:rsidP="00667583">
            <w:pPr>
              <w:tabs>
                <w:tab w:val="left" w:pos="11064"/>
              </w:tabs>
            </w:pPr>
            <w:r w:rsidRPr="00414BF2">
              <w:t xml:space="preserve">Actions as noted above and below in regards cultural development, initiatives underway within HP. Organisation wide response a priority.  </w:t>
            </w:r>
          </w:p>
        </w:tc>
      </w:tr>
      <w:tr w:rsidR="00667583" w:rsidRPr="00414BF2" w14:paraId="1363D73D" w14:textId="77777777" w:rsidTr="00BC42F2">
        <w:trPr>
          <w:trHeight w:val="987"/>
        </w:trPr>
        <w:tc>
          <w:tcPr>
            <w:tcW w:w="4673" w:type="dxa"/>
          </w:tcPr>
          <w:p w14:paraId="2936A3C0" w14:textId="77777777" w:rsidR="00667583" w:rsidRPr="002343BE" w:rsidRDefault="00667583" w:rsidP="00667583">
            <w:pPr>
              <w:rPr>
                <w:b/>
                <w:bCs/>
              </w:rPr>
            </w:pPr>
            <w:r w:rsidRPr="002343BE">
              <w:rPr>
                <w:b/>
                <w:bCs/>
              </w:rPr>
              <w:t>FA3.2</w:t>
            </w:r>
          </w:p>
          <w:p w14:paraId="7B9E282F" w14:textId="2BC3AFF4" w:rsidR="00667583" w:rsidRPr="00414BF2" w:rsidRDefault="00667583" w:rsidP="002343BE">
            <w:r>
              <w:t>R</w:t>
            </w:r>
            <w:r w:rsidRPr="00D219AD">
              <w:t>eimagining the HPP’s design and definition of success</w:t>
            </w:r>
          </w:p>
        </w:tc>
        <w:tc>
          <w:tcPr>
            <w:tcW w:w="10631" w:type="dxa"/>
          </w:tcPr>
          <w:p w14:paraId="7D7883C3" w14:textId="2123AC40" w:rsidR="00667583" w:rsidRPr="00414BF2" w:rsidRDefault="00667583" w:rsidP="00667583">
            <w:pPr>
              <w:tabs>
                <w:tab w:val="left" w:pos="11064"/>
              </w:tabs>
            </w:pPr>
            <w:r w:rsidRPr="00414BF2">
              <w:t>Discuss, confirm &amp; publicise the definition of success – athlete, coaches, HP, CNZ staff &amp; Board, stakeholders.</w:t>
            </w:r>
          </w:p>
        </w:tc>
      </w:tr>
      <w:tr w:rsidR="00667583" w:rsidRPr="00414BF2" w14:paraId="598C655B" w14:textId="77777777" w:rsidTr="00BC42F2">
        <w:trPr>
          <w:trHeight w:val="484"/>
        </w:trPr>
        <w:tc>
          <w:tcPr>
            <w:tcW w:w="4673" w:type="dxa"/>
            <w:vMerge w:val="restart"/>
          </w:tcPr>
          <w:p w14:paraId="245114E4" w14:textId="77777777" w:rsidR="00667583" w:rsidRPr="002343BE" w:rsidRDefault="00667583" w:rsidP="00667583">
            <w:pPr>
              <w:rPr>
                <w:b/>
                <w:bCs/>
              </w:rPr>
            </w:pPr>
            <w:r w:rsidRPr="002343BE">
              <w:rPr>
                <w:b/>
                <w:bCs/>
              </w:rPr>
              <w:t>FA3.3</w:t>
            </w:r>
          </w:p>
          <w:p w14:paraId="559B3BB4" w14:textId="77777777" w:rsidR="00667583" w:rsidRPr="00712CDB" w:rsidRDefault="00667583" w:rsidP="00667583">
            <w:r>
              <w:t>F</w:t>
            </w:r>
            <w:r w:rsidRPr="00712CDB">
              <w:t>ocusing on athletes as people first, athletes second</w:t>
            </w:r>
          </w:p>
          <w:p w14:paraId="599E6152" w14:textId="77777777" w:rsidR="00667583" w:rsidRPr="00414BF2" w:rsidRDefault="00667583" w:rsidP="00667583">
            <w:pPr>
              <w:tabs>
                <w:tab w:val="left" w:pos="11064"/>
              </w:tabs>
              <w:contextualSpacing/>
            </w:pPr>
          </w:p>
        </w:tc>
        <w:tc>
          <w:tcPr>
            <w:tcW w:w="10631" w:type="dxa"/>
          </w:tcPr>
          <w:p w14:paraId="2C08680C" w14:textId="68BEFAD9" w:rsidR="00667583" w:rsidRPr="00414BF2" w:rsidRDefault="00667583" w:rsidP="00667583">
            <w:pPr>
              <w:tabs>
                <w:tab w:val="left" w:pos="11064"/>
              </w:tabs>
            </w:pPr>
            <w:r w:rsidRPr="00414BF2">
              <w:t>Culture defined, measured, and reported regularly, by all athletes and others in HP</w:t>
            </w:r>
            <w:r>
              <w:t>.</w:t>
            </w:r>
          </w:p>
        </w:tc>
      </w:tr>
      <w:tr w:rsidR="00667583" w:rsidRPr="00414BF2" w14:paraId="4E19014D" w14:textId="77777777" w:rsidTr="00BC42F2">
        <w:trPr>
          <w:trHeight w:val="484"/>
        </w:trPr>
        <w:tc>
          <w:tcPr>
            <w:tcW w:w="4673" w:type="dxa"/>
            <w:vMerge/>
          </w:tcPr>
          <w:p w14:paraId="7EDF42BE" w14:textId="77777777" w:rsidR="00667583" w:rsidRPr="00414BF2" w:rsidRDefault="00667583" w:rsidP="00667583">
            <w:pPr>
              <w:tabs>
                <w:tab w:val="left" w:pos="11064"/>
              </w:tabs>
              <w:contextualSpacing/>
            </w:pPr>
          </w:p>
        </w:tc>
        <w:tc>
          <w:tcPr>
            <w:tcW w:w="10631" w:type="dxa"/>
          </w:tcPr>
          <w:p w14:paraId="561065AA" w14:textId="29CB864D" w:rsidR="00667583" w:rsidRPr="00414BF2" w:rsidRDefault="00667583" w:rsidP="00667583">
            <w:pPr>
              <w:tabs>
                <w:tab w:val="left" w:pos="11064"/>
              </w:tabs>
            </w:pPr>
            <w:r w:rsidRPr="00414BF2">
              <w:t xml:space="preserve">Evaluate and seek feedback from athletes on their wellbeing, engagement, and empowerment within the programme. </w:t>
            </w:r>
          </w:p>
        </w:tc>
      </w:tr>
      <w:tr w:rsidR="00667583" w:rsidRPr="00414BF2" w14:paraId="5B51DAD6" w14:textId="77777777" w:rsidTr="00BC42F2">
        <w:trPr>
          <w:trHeight w:val="484"/>
        </w:trPr>
        <w:tc>
          <w:tcPr>
            <w:tcW w:w="4673" w:type="dxa"/>
            <w:vMerge/>
          </w:tcPr>
          <w:p w14:paraId="5513FD09" w14:textId="77777777" w:rsidR="00667583" w:rsidRPr="00414BF2" w:rsidRDefault="00667583" w:rsidP="00667583">
            <w:pPr>
              <w:tabs>
                <w:tab w:val="left" w:pos="11064"/>
              </w:tabs>
              <w:contextualSpacing/>
            </w:pPr>
          </w:p>
        </w:tc>
        <w:tc>
          <w:tcPr>
            <w:tcW w:w="10631" w:type="dxa"/>
          </w:tcPr>
          <w:p w14:paraId="7ADF15BD" w14:textId="1CABDA59" w:rsidR="00667583" w:rsidRPr="00414BF2" w:rsidRDefault="00667583" w:rsidP="00667583">
            <w:pPr>
              <w:tabs>
                <w:tab w:val="left" w:pos="11064"/>
              </w:tabs>
            </w:pPr>
            <w:r w:rsidRPr="00414BF2">
              <w:t xml:space="preserve">Benchmark within HPSNZ ecosystem and look at CNZ and other programme results. </w:t>
            </w:r>
          </w:p>
        </w:tc>
      </w:tr>
      <w:tr w:rsidR="00667583" w:rsidRPr="00414BF2" w14:paraId="05BF7118" w14:textId="77777777" w:rsidTr="00BC42F2">
        <w:trPr>
          <w:trHeight w:val="484"/>
        </w:trPr>
        <w:tc>
          <w:tcPr>
            <w:tcW w:w="4673" w:type="dxa"/>
            <w:vMerge/>
          </w:tcPr>
          <w:p w14:paraId="21286D16" w14:textId="77777777" w:rsidR="00667583" w:rsidRPr="00414BF2" w:rsidRDefault="00667583" w:rsidP="00667583">
            <w:pPr>
              <w:tabs>
                <w:tab w:val="left" w:pos="11064"/>
              </w:tabs>
              <w:contextualSpacing/>
            </w:pPr>
          </w:p>
        </w:tc>
        <w:tc>
          <w:tcPr>
            <w:tcW w:w="10631" w:type="dxa"/>
          </w:tcPr>
          <w:p w14:paraId="26EDA429" w14:textId="6DBFFE22" w:rsidR="00667583" w:rsidRPr="00414BF2" w:rsidRDefault="00667583" w:rsidP="00667583">
            <w:pPr>
              <w:tabs>
                <w:tab w:val="left" w:pos="11064"/>
              </w:tabs>
            </w:pPr>
            <w:r w:rsidRPr="00414BF2">
              <w:t xml:space="preserve">Athlete Voice Committee develops into an active, effective, and engaged in DTE &amp; programme policy and processes.  Immediate priority to review ToR. HPSNZ to provide guidance in this area. </w:t>
            </w:r>
          </w:p>
        </w:tc>
      </w:tr>
      <w:tr w:rsidR="00667583" w:rsidRPr="00414BF2" w14:paraId="5BE5840F" w14:textId="77777777" w:rsidTr="00BC42F2">
        <w:trPr>
          <w:trHeight w:val="484"/>
        </w:trPr>
        <w:tc>
          <w:tcPr>
            <w:tcW w:w="4673" w:type="dxa"/>
          </w:tcPr>
          <w:p w14:paraId="2AC95301" w14:textId="77777777" w:rsidR="00667583" w:rsidRPr="002343BE" w:rsidRDefault="00667583" w:rsidP="00667583">
            <w:pPr>
              <w:rPr>
                <w:b/>
                <w:bCs/>
              </w:rPr>
            </w:pPr>
            <w:r w:rsidRPr="002343BE">
              <w:rPr>
                <w:b/>
                <w:bCs/>
              </w:rPr>
              <w:t>FA3.4</w:t>
            </w:r>
          </w:p>
          <w:p w14:paraId="08821825" w14:textId="77777777" w:rsidR="00667583" w:rsidRDefault="00667583" w:rsidP="00667583">
            <w:r>
              <w:t>R</w:t>
            </w:r>
            <w:r w:rsidRPr="00FD1BB5">
              <w:t>evising job descriptions and expectations placed on staff so that they are people-focused first</w:t>
            </w:r>
            <w:r>
              <w:t>,</w:t>
            </w:r>
            <w:r w:rsidRPr="00FD1BB5">
              <w:t xml:space="preserve"> with medals being a secondary consideration</w:t>
            </w:r>
            <w:r>
              <w:t>.</w:t>
            </w:r>
          </w:p>
          <w:p w14:paraId="15A94E3C" w14:textId="77777777" w:rsidR="00667583" w:rsidRPr="00414BF2" w:rsidRDefault="00667583" w:rsidP="00667583">
            <w:pPr>
              <w:tabs>
                <w:tab w:val="left" w:pos="11064"/>
              </w:tabs>
              <w:contextualSpacing/>
            </w:pPr>
          </w:p>
        </w:tc>
        <w:tc>
          <w:tcPr>
            <w:tcW w:w="10631" w:type="dxa"/>
          </w:tcPr>
          <w:p w14:paraId="01E50190" w14:textId="77777777" w:rsidR="00667583" w:rsidRPr="00FD1BB5" w:rsidRDefault="00667583" w:rsidP="00667583">
            <w:pPr>
              <w:tabs>
                <w:tab w:val="left" w:pos="11064"/>
              </w:tabs>
            </w:pPr>
            <w:r w:rsidRPr="00FD1BB5">
              <w:t>Invest in People and Culture Manager</w:t>
            </w:r>
            <w:r>
              <w:t xml:space="preserve">. </w:t>
            </w:r>
            <w:r w:rsidRPr="00FD1BB5">
              <w:t xml:space="preserve">Revisit all PDs and performance management processes. Align KPIs and performance expectations. </w:t>
            </w:r>
          </w:p>
          <w:p w14:paraId="1B2B0181" w14:textId="77777777" w:rsidR="00667583" w:rsidRPr="00414BF2" w:rsidRDefault="00667583" w:rsidP="00667583">
            <w:pPr>
              <w:tabs>
                <w:tab w:val="left" w:pos="11064"/>
              </w:tabs>
            </w:pPr>
          </w:p>
        </w:tc>
      </w:tr>
      <w:tr w:rsidR="000F2705" w:rsidRPr="00414BF2" w14:paraId="530FD230" w14:textId="77777777" w:rsidTr="00BC42F2">
        <w:trPr>
          <w:trHeight w:val="484"/>
        </w:trPr>
        <w:tc>
          <w:tcPr>
            <w:tcW w:w="4673" w:type="dxa"/>
            <w:vMerge w:val="restart"/>
          </w:tcPr>
          <w:p w14:paraId="084B8254" w14:textId="77777777" w:rsidR="000F2705" w:rsidRPr="002343BE" w:rsidRDefault="000F2705" w:rsidP="000F2705">
            <w:pPr>
              <w:rPr>
                <w:b/>
                <w:bCs/>
              </w:rPr>
            </w:pPr>
            <w:r w:rsidRPr="002343BE">
              <w:rPr>
                <w:b/>
                <w:bCs/>
              </w:rPr>
              <w:t>FA3.5</w:t>
            </w:r>
          </w:p>
          <w:p w14:paraId="3BC1A16F" w14:textId="53D38005" w:rsidR="000F2705" w:rsidRPr="00414BF2" w:rsidRDefault="000F2705" w:rsidP="000F2705">
            <w:pPr>
              <w:tabs>
                <w:tab w:val="left" w:pos="11064"/>
              </w:tabs>
              <w:contextualSpacing/>
            </w:pPr>
            <w:r>
              <w:t>F</w:t>
            </w:r>
            <w:r w:rsidRPr="002148C7">
              <w:t>ostering a culture of openness, inclusion and belonging driven by individual and collective wellbeing</w:t>
            </w:r>
          </w:p>
        </w:tc>
        <w:tc>
          <w:tcPr>
            <w:tcW w:w="10631" w:type="dxa"/>
          </w:tcPr>
          <w:p w14:paraId="0E5AF904" w14:textId="24CE883F" w:rsidR="000F2705" w:rsidRPr="00414BF2" w:rsidRDefault="000F2705" w:rsidP="000F2705">
            <w:pPr>
              <w:tabs>
                <w:tab w:val="left" w:pos="11064"/>
              </w:tabs>
            </w:pPr>
            <w:r w:rsidRPr="002148C7">
              <w:t>As above, plus recruitment of (</w:t>
            </w:r>
            <w:proofErr w:type="spellStart"/>
            <w:r w:rsidRPr="002148C7">
              <w:t>i</w:t>
            </w:r>
            <w:proofErr w:type="spellEnd"/>
            <w:r w:rsidRPr="002148C7">
              <w:t>) People &amp; Culture Manager, and (ii) a CEO with emphasis on culture &amp; people leadership</w:t>
            </w:r>
          </w:p>
        </w:tc>
      </w:tr>
      <w:tr w:rsidR="000F2705" w:rsidRPr="00414BF2" w14:paraId="4777568F" w14:textId="77777777" w:rsidTr="00BC42F2">
        <w:trPr>
          <w:trHeight w:val="484"/>
        </w:trPr>
        <w:tc>
          <w:tcPr>
            <w:tcW w:w="4673" w:type="dxa"/>
            <w:vMerge/>
          </w:tcPr>
          <w:p w14:paraId="3CCE676E" w14:textId="77777777" w:rsidR="000F2705" w:rsidRPr="00414BF2" w:rsidRDefault="000F2705" w:rsidP="000F2705">
            <w:pPr>
              <w:tabs>
                <w:tab w:val="left" w:pos="11064"/>
              </w:tabs>
              <w:contextualSpacing/>
            </w:pPr>
          </w:p>
        </w:tc>
        <w:tc>
          <w:tcPr>
            <w:tcW w:w="10631" w:type="dxa"/>
          </w:tcPr>
          <w:p w14:paraId="5562B99B" w14:textId="0D968B61" w:rsidR="000F2705" w:rsidRPr="00414BF2" w:rsidRDefault="000F2705" w:rsidP="000F2705">
            <w:pPr>
              <w:tabs>
                <w:tab w:val="left" w:pos="11064"/>
              </w:tabs>
            </w:pPr>
            <w:r w:rsidRPr="000A2F11">
              <w:t xml:space="preserve">Work has been ongoing within HP programme on culture in last 12 months.  </w:t>
            </w:r>
            <w:r>
              <w:t>Document and review annually.</w:t>
            </w:r>
          </w:p>
        </w:tc>
      </w:tr>
      <w:tr w:rsidR="000F2705" w:rsidRPr="00414BF2" w14:paraId="1DDA3D4F" w14:textId="77777777" w:rsidTr="00BC42F2">
        <w:trPr>
          <w:trHeight w:val="484"/>
        </w:trPr>
        <w:tc>
          <w:tcPr>
            <w:tcW w:w="4673" w:type="dxa"/>
            <w:vMerge w:val="restart"/>
          </w:tcPr>
          <w:p w14:paraId="7778FCA7" w14:textId="77777777" w:rsidR="000F2705" w:rsidRPr="002343BE" w:rsidRDefault="000F2705" w:rsidP="000F2705">
            <w:pPr>
              <w:rPr>
                <w:b/>
                <w:bCs/>
              </w:rPr>
            </w:pPr>
            <w:r w:rsidRPr="002343BE">
              <w:rPr>
                <w:b/>
                <w:bCs/>
              </w:rPr>
              <w:t>FA3.6</w:t>
            </w:r>
          </w:p>
          <w:p w14:paraId="4D556DA3" w14:textId="471E1EC3" w:rsidR="000F2705" w:rsidRPr="00414BF2" w:rsidRDefault="000F2705" w:rsidP="002343BE">
            <w:r>
              <w:t>T</w:t>
            </w:r>
            <w:r w:rsidRPr="000A2F11">
              <w:t>aking action to mitigate the effects and perceptions of bias and favouritism in CNZ’s DTE, decision-making and workplac</w:t>
            </w:r>
            <w:r>
              <w:t>e.</w:t>
            </w:r>
          </w:p>
        </w:tc>
        <w:tc>
          <w:tcPr>
            <w:tcW w:w="10631" w:type="dxa"/>
          </w:tcPr>
          <w:p w14:paraId="615BE7D8" w14:textId="4DB06171" w:rsidR="000F2705" w:rsidRPr="00414BF2" w:rsidRDefault="000F2705" w:rsidP="000F2705">
            <w:pPr>
              <w:tabs>
                <w:tab w:val="left" w:pos="11064"/>
              </w:tabs>
            </w:pPr>
            <w:r w:rsidRPr="00ED22B7">
              <w:t>Transparent and fair processes in place. (i.e., complaints &amp; grievance management, reporting, escalation, reporting, confidentiality)</w:t>
            </w:r>
            <w:r>
              <w:t>.</w:t>
            </w:r>
          </w:p>
        </w:tc>
      </w:tr>
      <w:tr w:rsidR="000F2705" w:rsidRPr="00414BF2" w14:paraId="638B59AD" w14:textId="77777777" w:rsidTr="00BC42F2">
        <w:trPr>
          <w:trHeight w:val="598"/>
        </w:trPr>
        <w:tc>
          <w:tcPr>
            <w:tcW w:w="4673" w:type="dxa"/>
            <w:vMerge/>
          </w:tcPr>
          <w:p w14:paraId="1D935A81" w14:textId="77777777" w:rsidR="000F2705" w:rsidRPr="00414BF2" w:rsidRDefault="000F2705" w:rsidP="000F2705">
            <w:pPr>
              <w:tabs>
                <w:tab w:val="left" w:pos="11064"/>
              </w:tabs>
              <w:contextualSpacing/>
            </w:pPr>
          </w:p>
        </w:tc>
        <w:tc>
          <w:tcPr>
            <w:tcW w:w="10631" w:type="dxa"/>
          </w:tcPr>
          <w:p w14:paraId="3903D83C" w14:textId="4C51CB2C" w:rsidR="000F2705" w:rsidRPr="00414BF2" w:rsidRDefault="000F2705" w:rsidP="000F2705">
            <w:pPr>
              <w:tabs>
                <w:tab w:val="left" w:pos="11064"/>
              </w:tabs>
            </w:pPr>
            <w:r w:rsidRPr="0023625A">
              <w:t xml:space="preserve">Monitor and measure feedback on integrity of processes, </w:t>
            </w:r>
            <w:proofErr w:type="gramStart"/>
            <w:r w:rsidRPr="0023625A">
              <w:t>policies</w:t>
            </w:r>
            <w:proofErr w:type="gramEnd"/>
            <w:r w:rsidRPr="0023625A">
              <w:t xml:space="preserve"> and practise within the CNZ workplace and DTE.  </w:t>
            </w:r>
          </w:p>
        </w:tc>
      </w:tr>
      <w:tr w:rsidR="000F2705" w:rsidRPr="00414BF2" w14:paraId="3EF3ABD8" w14:textId="77777777" w:rsidTr="00BC42F2">
        <w:trPr>
          <w:trHeight w:val="484"/>
        </w:trPr>
        <w:tc>
          <w:tcPr>
            <w:tcW w:w="4673" w:type="dxa"/>
          </w:tcPr>
          <w:p w14:paraId="180B2F5E" w14:textId="77777777" w:rsidR="000F2705" w:rsidRPr="002343BE" w:rsidRDefault="000F2705" w:rsidP="000F2705">
            <w:pPr>
              <w:rPr>
                <w:b/>
                <w:bCs/>
              </w:rPr>
            </w:pPr>
            <w:r w:rsidRPr="002343BE">
              <w:rPr>
                <w:b/>
                <w:bCs/>
              </w:rPr>
              <w:t>FA3.7</w:t>
            </w:r>
          </w:p>
          <w:p w14:paraId="4FF153B4" w14:textId="0024D68F" w:rsidR="000F2705" w:rsidRPr="00414BF2" w:rsidRDefault="000F2705" w:rsidP="000F2705">
            <w:pPr>
              <w:tabs>
                <w:tab w:val="left" w:pos="11064"/>
              </w:tabs>
              <w:contextualSpacing/>
            </w:pPr>
            <w:r>
              <w:t>S</w:t>
            </w:r>
            <w:r w:rsidRPr="0023625A">
              <w:t>eeking greater diversity within CNZ and the DTE, with better approaches to breaking down bias.</w:t>
            </w:r>
          </w:p>
        </w:tc>
        <w:tc>
          <w:tcPr>
            <w:tcW w:w="10631" w:type="dxa"/>
          </w:tcPr>
          <w:p w14:paraId="78250311" w14:textId="578C8792" w:rsidR="000F2705" w:rsidRPr="00414BF2" w:rsidRDefault="000F2705" w:rsidP="000F2705">
            <w:pPr>
              <w:tabs>
                <w:tab w:val="left" w:pos="11064"/>
              </w:tabs>
            </w:pPr>
            <w:r w:rsidRPr="00376CE4">
              <w:t>See point 3.4. Recommend relevant training and development for all CNZ personnel. Establish monitoring by the Board Sub Committee</w:t>
            </w:r>
            <w:r>
              <w:tab/>
            </w:r>
          </w:p>
        </w:tc>
      </w:tr>
      <w:tr w:rsidR="000F2705" w:rsidRPr="00414BF2" w14:paraId="32F6FA3C" w14:textId="77777777" w:rsidTr="00037164">
        <w:trPr>
          <w:trHeight w:val="983"/>
        </w:trPr>
        <w:tc>
          <w:tcPr>
            <w:tcW w:w="15304" w:type="dxa"/>
            <w:gridSpan w:val="2"/>
            <w:shd w:val="clear" w:color="auto" w:fill="D9D9D9" w:themeFill="background1" w:themeFillShade="D9"/>
            <w:vAlign w:val="center"/>
          </w:tcPr>
          <w:p w14:paraId="4740B349" w14:textId="77777777" w:rsidR="000F2705" w:rsidRDefault="000F2705" w:rsidP="000F2705">
            <w:pPr>
              <w:tabs>
                <w:tab w:val="left" w:pos="11064"/>
              </w:tabs>
              <w:rPr>
                <w:b/>
                <w:bCs/>
                <w:sz w:val="24"/>
                <w:szCs w:val="24"/>
              </w:rPr>
            </w:pPr>
            <w:r>
              <w:rPr>
                <w:b/>
                <w:bCs/>
                <w:sz w:val="24"/>
                <w:szCs w:val="24"/>
              </w:rPr>
              <w:lastRenderedPageBreak/>
              <w:t>FA4: Transparency</w:t>
            </w:r>
          </w:p>
          <w:p w14:paraId="2D97C896" w14:textId="7D7D106E" w:rsidR="000F2705" w:rsidRPr="006116C9" w:rsidRDefault="000F2705" w:rsidP="000F2705">
            <w:pPr>
              <w:tabs>
                <w:tab w:val="left" w:pos="11064"/>
              </w:tabs>
              <w:rPr>
                <w:b/>
                <w:bCs/>
                <w:sz w:val="24"/>
                <w:szCs w:val="24"/>
              </w:rPr>
            </w:pPr>
            <w:r w:rsidRPr="004F6BBF">
              <w:rPr>
                <w:rFonts w:cs="Calibri"/>
              </w:rPr>
              <w:t xml:space="preserve">CNZ must ensure there is transparency around key decisions, as well as consultation and </w:t>
            </w:r>
            <w:r>
              <w:rPr>
                <w:rFonts w:cs="Calibri"/>
              </w:rPr>
              <w:t xml:space="preserve">with impacted stakeholders </w:t>
            </w:r>
            <w:proofErr w:type="spellStart"/>
            <w:proofErr w:type="gramStart"/>
            <w:r w:rsidRPr="004F6BBF">
              <w:rPr>
                <w:rFonts w:cs="Calibri"/>
              </w:rPr>
              <w:t>ie</w:t>
            </w:r>
            <w:proofErr w:type="spellEnd"/>
            <w:proofErr w:type="gramEnd"/>
            <w:r w:rsidRPr="004F6BBF">
              <w:rPr>
                <w:rFonts w:cs="Calibri"/>
              </w:rPr>
              <w:t xml:space="preserve"> selection, recruitment, funding levels and access, competitions, programme status.</w:t>
            </w:r>
            <w:r w:rsidRPr="004F6BBF">
              <w:rPr>
                <w:rFonts w:cs="Calibri"/>
                <w:b/>
                <w:bCs/>
              </w:rPr>
              <w:t xml:space="preserve">  </w:t>
            </w:r>
          </w:p>
        </w:tc>
      </w:tr>
      <w:tr w:rsidR="006116C9" w:rsidRPr="00414BF2" w14:paraId="18E8AA52" w14:textId="77777777" w:rsidTr="00BC42F2">
        <w:trPr>
          <w:trHeight w:val="484"/>
        </w:trPr>
        <w:tc>
          <w:tcPr>
            <w:tcW w:w="4673" w:type="dxa"/>
            <w:vMerge w:val="restart"/>
          </w:tcPr>
          <w:p w14:paraId="5C578037" w14:textId="77777777" w:rsidR="006116C9" w:rsidRPr="002343BE" w:rsidRDefault="006116C9" w:rsidP="005B0090">
            <w:pPr>
              <w:tabs>
                <w:tab w:val="left" w:pos="11064"/>
              </w:tabs>
              <w:contextualSpacing/>
              <w:rPr>
                <w:b/>
                <w:bCs/>
              </w:rPr>
            </w:pPr>
            <w:r w:rsidRPr="002343BE">
              <w:rPr>
                <w:b/>
                <w:bCs/>
              </w:rPr>
              <w:t>FA4.1</w:t>
            </w:r>
          </w:p>
          <w:p w14:paraId="63D8CB95" w14:textId="23DE998B" w:rsidR="006116C9" w:rsidRPr="00414BF2" w:rsidRDefault="006116C9" w:rsidP="005B0090">
            <w:pPr>
              <w:tabs>
                <w:tab w:val="left" w:pos="11064"/>
              </w:tabs>
              <w:contextualSpacing/>
            </w:pPr>
            <w:r>
              <w:t>E</w:t>
            </w:r>
            <w:r w:rsidRPr="00D219AD">
              <w:t>nsuring greater accountability and transparency</w:t>
            </w:r>
          </w:p>
        </w:tc>
        <w:tc>
          <w:tcPr>
            <w:tcW w:w="10631" w:type="dxa"/>
          </w:tcPr>
          <w:p w14:paraId="0F06F4C4" w14:textId="4421CE46" w:rsidR="006116C9" w:rsidRPr="00414BF2" w:rsidRDefault="006116C9" w:rsidP="0029607B">
            <w:pPr>
              <w:tabs>
                <w:tab w:val="left" w:pos="11064"/>
              </w:tabs>
            </w:pPr>
            <w:r w:rsidRPr="00414BF2">
              <w:t xml:space="preserve">CNZ (&amp; HPSNZ) to identify areas for improvement across &amp; between organisations in terms of joint roles/responsibilities. </w:t>
            </w:r>
          </w:p>
        </w:tc>
      </w:tr>
      <w:tr w:rsidR="006116C9" w:rsidRPr="00414BF2" w14:paraId="37D1823F" w14:textId="77777777" w:rsidTr="00BC42F2">
        <w:trPr>
          <w:trHeight w:val="484"/>
        </w:trPr>
        <w:tc>
          <w:tcPr>
            <w:tcW w:w="4673" w:type="dxa"/>
            <w:vMerge/>
          </w:tcPr>
          <w:p w14:paraId="315A763A" w14:textId="77777777" w:rsidR="006116C9" w:rsidRPr="00414BF2" w:rsidRDefault="006116C9" w:rsidP="0029607B">
            <w:pPr>
              <w:tabs>
                <w:tab w:val="left" w:pos="11064"/>
              </w:tabs>
              <w:contextualSpacing/>
            </w:pPr>
          </w:p>
        </w:tc>
        <w:tc>
          <w:tcPr>
            <w:tcW w:w="10631" w:type="dxa"/>
          </w:tcPr>
          <w:p w14:paraId="76766A1B" w14:textId="45225112" w:rsidR="006116C9" w:rsidRPr="00414BF2" w:rsidRDefault="006116C9" w:rsidP="0029607B">
            <w:pPr>
              <w:tabs>
                <w:tab w:val="left" w:pos="11064"/>
              </w:tabs>
            </w:pPr>
            <w:r w:rsidRPr="00414BF2">
              <w:t xml:space="preserve">Define roles of CNZ &amp; HPSNZ people within HP programme. Ensure visibility, clarity, and engagement with processes within CNZ HHP. Ensure clarity re accountabilities for all personnel in HP. </w:t>
            </w:r>
          </w:p>
        </w:tc>
      </w:tr>
      <w:tr w:rsidR="006116C9" w:rsidRPr="00414BF2" w14:paraId="3AC81BFE" w14:textId="77777777" w:rsidTr="00BC42F2">
        <w:trPr>
          <w:trHeight w:val="484"/>
        </w:trPr>
        <w:tc>
          <w:tcPr>
            <w:tcW w:w="4673" w:type="dxa"/>
            <w:vMerge/>
          </w:tcPr>
          <w:p w14:paraId="2B6FFDC2" w14:textId="77777777" w:rsidR="006116C9" w:rsidRPr="00414BF2" w:rsidRDefault="006116C9" w:rsidP="0029607B">
            <w:pPr>
              <w:tabs>
                <w:tab w:val="left" w:pos="11064"/>
              </w:tabs>
              <w:contextualSpacing/>
            </w:pPr>
          </w:p>
        </w:tc>
        <w:tc>
          <w:tcPr>
            <w:tcW w:w="10631" w:type="dxa"/>
          </w:tcPr>
          <w:p w14:paraId="0266BF5E" w14:textId="44D673D3" w:rsidR="006116C9" w:rsidRPr="00414BF2" w:rsidRDefault="006116C9" w:rsidP="0029607B">
            <w:pPr>
              <w:tabs>
                <w:tab w:val="left" w:pos="11064"/>
              </w:tabs>
            </w:pPr>
            <w:r w:rsidRPr="00414BF2">
              <w:t>Ensure transparency around key decisions within CNZ. Evaluate ways to assess and report this to stakeholders</w:t>
            </w:r>
            <w:r>
              <w:t xml:space="preserve">. </w:t>
            </w:r>
          </w:p>
        </w:tc>
      </w:tr>
      <w:tr w:rsidR="006116C9" w:rsidRPr="00414BF2" w14:paraId="6A08EE26" w14:textId="77777777" w:rsidTr="00BC42F2">
        <w:trPr>
          <w:trHeight w:val="484"/>
        </w:trPr>
        <w:tc>
          <w:tcPr>
            <w:tcW w:w="4673" w:type="dxa"/>
            <w:vMerge/>
          </w:tcPr>
          <w:p w14:paraId="4E180602" w14:textId="77777777" w:rsidR="006116C9" w:rsidRPr="00414BF2" w:rsidRDefault="006116C9" w:rsidP="0029607B">
            <w:pPr>
              <w:tabs>
                <w:tab w:val="left" w:pos="11064"/>
              </w:tabs>
              <w:contextualSpacing/>
            </w:pPr>
          </w:p>
        </w:tc>
        <w:tc>
          <w:tcPr>
            <w:tcW w:w="10631" w:type="dxa"/>
          </w:tcPr>
          <w:p w14:paraId="0AAB55D8" w14:textId="421317DA" w:rsidR="006116C9" w:rsidRPr="00414BF2" w:rsidRDefault="006116C9" w:rsidP="0029607B">
            <w:pPr>
              <w:tabs>
                <w:tab w:val="left" w:pos="11064"/>
              </w:tabs>
            </w:pPr>
            <w:r>
              <w:t>Ensure athletes / coaching / support staff access education and support to understand courageous conversations / radical candour</w:t>
            </w:r>
            <w:r w:rsidR="009C5F0C">
              <w:t xml:space="preserve"> - h</w:t>
            </w:r>
            <w:r>
              <w:t>aving them and receiving them.</w:t>
            </w:r>
          </w:p>
        </w:tc>
      </w:tr>
      <w:tr w:rsidR="0029607B" w:rsidRPr="00414BF2" w14:paraId="014046ED" w14:textId="77777777" w:rsidTr="00BC42F2">
        <w:trPr>
          <w:trHeight w:val="484"/>
        </w:trPr>
        <w:tc>
          <w:tcPr>
            <w:tcW w:w="4673" w:type="dxa"/>
          </w:tcPr>
          <w:p w14:paraId="01073F7D" w14:textId="77777777" w:rsidR="009C5F0C" w:rsidRPr="002343BE" w:rsidRDefault="009C5F0C" w:rsidP="009C5F0C">
            <w:pPr>
              <w:tabs>
                <w:tab w:val="left" w:pos="11064"/>
              </w:tabs>
              <w:contextualSpacing/>
              <w:rPr>
                <w:b/>
                <w:bCs/>
              </w:rPr>
            </w:pPr>
            <w:r w:rsidRPr="002343BE">
              <w:rPr>
                <w:b/>
                <w:bCs/>
              </w:rPr>
              <w:t>FA4.2</w:t>
            </w:r>
          </w:p>
          <w:p w14:paraId="0E1B5017" w14:textId="2F91E3A2" w:rsidR="009C5F0C" w:rsidRDefault="009C5F0C" w:rsidP="009C5F0C">
            <w:pPr>
              <w:tabs>
                <w:tab w:val="left" w:pos="11064"/>
              </w:tabs>
            </w:pPr>
            <w:r w:rsidRPr="00023777">
              <w:t xml:space="preserve">CNZ and HPSNZ must take steps to ensure that transparency and accountability are fundamental to their culture and operations, including by implementing the recommendations in paragraph 160 </w:t>
            </w:r>
            <w:r w:rsidR="00F77031">
              <w:t>of the Inquiry</w:t>
            </w:r>
          </w:p>
          <w:p w14:paraId="2888FD6D" w14:textId="77777777" w:rsidR="0029607B" w:rsidRPr="00414BF2" w:rsidRDefault="0029607B" w:rsidP="0029607B">
            <w:pPr>
              <w:tabs>
                <w:tab w:val="left" w:pos="11064"/>
              </w:tabs>
              <w:contextualSpacing/>
            </w:pPr>
          </w:p>
        </w:tc>
        <w:tc>
          <w:tcPr>
            <w:tcW w:w="10631" w:type="dxa"/>
          </w:tcPr>
          <w:p w14:paraId="22844822" w14:textId="77777777" w:rsidR="00F77031" w:rsidRDefault="00F77031" w:rsidP="00F77031">
            <w:pPr>
              <w:tabs>
                <w:tab w:val="left" w:pos="11064"/>
              </w:tabs>
            </w:pPr>
            <w:r>
              <w:t xml:space="preserve">Commitment to review policies that relate to athletes and ensure they are clearly, communicated and acted on. Engage athlete voice.  </w:t>
            </w:r>
          </w:p>
          <w:p w14:paraId="13A0F176" w14:textId="77777777" w:rsidR="00F77031" w:rsidRDefault="00F77031" w:rsidP="00F77031">
            <w:pPr>
              <w:tabs>
                <w:tab w:val="left" w:pos="11064"/>
              </w:tabs>
            </w:pPr>
            <w:r>
              <w:t xml:space="preserve">Ensure the process and decisions around selection, recruitment, </w:t>
            </w:r>
            <w:proofErr w:type="gramStart"/>
            <w:r>
              <w:t>TAPs</w:t>
            </w:r>
            <w:proofErr w:type="gramEnd"/>
            <w:r>
              <w:t xml:space="preserve"> access, and competitions are transparent to those impacted. </w:t>
            </w:r>
          </w:p>
          <w:p w14:paraId="0369C417" w14:textId="77777777" w:rsidR="00F77031" w:rsidRDefault="00F77031" w:rsidP="00F77031">
            <w:pPr>
              <w:tabs>
                <w:tab w:val="left" w:pos="11064"/>
              </w:tabs>
            </w:pPr>
            <w:r>
              <w:t>Improve event debrief process and policy.</w:t>
            </w:r>
          </w:p>
          <w:p w14:paraId="2A6F0C86" w14:textId="0B9462FA" w:rsidR="0029607B" w:rsidRPr="00414BF2" w:rsidRDefault="00F77031" w:rsidP="00F77031">
            <w:pPr>
              <w:tabs>
                <w:tab w:val="left" w:pos="11064"/>
              </w:tabs>
            </w:pPr>
            <w:r>
              <w:t xml:space="preserve">Ensure policies are adequate for complaints, grievances, whistle blowing.  Consider training.   </w:t>
            </w:r>
          </w:p>
        </w:tc>
      </w:tr>
      <w:tr w:rsidR="00F77031" w:rsidRPr="00414BF2" w14:paraId="340B20E8" w14:textId="77777777" w:rsidTr="00037164">
        <w:trPr>
          <w:trHeight w:val="654"/>
        </w:trPr>
        <w:tc>
          <w:tcPr>
            <w:tcW w:w="15304" w:type="dxa"/>
            <w:gridSpan w:val="2"/>
            <w:tcBorders>
              <w:bottom w:val="single" w:sz="4" w:space="0" w:color="auto"/>
            </w:tcBorders>
            <w:shd w:val="clear" w:color="auto" w:fill="D9D9D9" w:themeFill="background1" w:themeFillShade="D9"/>
            <w:vAlign w:val="center"/>
          </w:tcPr>
          <w:p w14:paraId="7A1075FA" w14:textId="77777777" w:rsidR="00F77031" w:rsidRDefault="00F77031" w:rsidP="00F77031">
            <w:pPr>
              <w:tabs>
                <w:tab w:val="left" w:pos="11064"/>
              </w:tabs>
              <w:rPr>
                <w:b/>
                <w:bCs/>
                <w:sz w:val="24"/>
                <w:szCs w:val="24"/>
              </w:rPr>
            </w:pPr>
            <w:r>
              <w:rPr>
                <w:b/>
                <w:bCs/>
                <w:sz w:val="24"/>
                <w:szCs w:val="24"/>
              </w:rPr>
              <w:t>FA5: Athlete Engagement</w:t>
            </w:r>
          </w:p>
          <w:p w14:paraId="527D82AE" w14:textId="1A9F861D" w:rsidR="00F77031" w:rsidRPr="00F77031" w:rsidRDefault="00F77031" w:rsidP="00F77031">
            <w:pPr>
              <w:tabs>
                <w:tab w:val="left" w:pos="11064"/>
              </w:tabs>
              <w:rPr>
                <w:b/>
                <w:bCs/>
                <w:sz w:val="24"/>
                <w:szCs w:val="24"/>
              </w:rPr>
            </w:pPr>
            <w:r w:rsidRPr="004F6BBF">
              <w:rPr>
                <w:rFonts w:cs="Calibri"/>
              </w:rPr>
              <w:t>Ensure CNZ has effective mechanisms for athlete engagement on issues, decisions and services that impact on them.</w:t>
            </w:r>
          </w:p>
        </w:tc>
      </w:tr>
      <w:tr w:rsidR="00827308" w:rsidRPr="00414BF2" w14:paraId="6376F973" w14:textId="77777777" w:rsidTr="00BC42F2">
        <w:trPr>
          <w:trHeight w:val="484"/>
        </w:trPr>
        <w:tc>
          <w:tcPr>
            <w:tcW w:w="4673" w:type="dxa"/>
            <w:vMerge w:val="restart"/>
            <w:vAlign w:val="center"/>
          </w:tcPr>
          <w:p w14:paraId="2930C588" w14:textId="77777777" w:rsidR="005067BE" w:rsidRPr="005067BE" w:rsidRDefault="005067BE" w:rsidP="005067BE">
            <w:pPr>
              <w:rPr>
                <w:b/>
                <w:bCs/>
              </w:rPr>
            </w:pPr>
            <w:r w:rsidRPr="005067BE">
              <w:rPr>
                <w:b/>
                <w:bCs/>
              </w:rPr>
              <w:t>FA5.1</w:t>
            </w:r>
          </w:p>
          <w:p w14:paraId="4F16C0B5" w14:textId="77777777" w:rsidR="005067BE" w:rsidRDefault="005067BE" w:rsidP="005067BE">
            <w:r w:rsidRPr="005040DE">
              <w:t>Any athlete body that eventuates from HPSNZ’s ongoing work should:</w:t>
            </w:r>
          </w:p>
          <w:p w14:paraId="36EBB27A" w14:textId="77777777" w:rsidR="005067BE" w:rsidRPr="00A95F31" w:rsidRDefault="005067BE" w:rsidP="005067BE">
            <w:pPr>
              <w:numPr>
                <w:ilvl w:val="0"/>
                <w:numId w:val="3"/>
              </w:numPr>
              <w:contextualSpacing/>
              <w:rPr>
                <w:vanish/>
              </w:rPr>
            </w:pPr>
          </w:p>
          <w:p w14:paraId="0B2ABA2E" w14:textId="77777777" w:rsidR="005067BE" w:rsidRPr="00A95F31" w:rsidRDefault="005067BE" w:rsidP="005067BE">
            <w:pPr>
              <w:numPr>
                <w:ilvl w:val="0"/>
                <w:numId w:val="3"/>
              </w:numPr>
              <w:contextualSpacing/>
              <w:rPr>
                <w:vanish/>
              </w:rPr>
            </w:pPr>
          </w:p>
          <w:p w14:paraId="0135319C" w14:textId="77777777" w:rsidR="005067BE" w:rsidRPr="00A95F31" w:rsidRDefault="005067BE" w:rsidP="005067BE">
            <w:pPr>
              <w:numPr>
                <w:ilvl w:val="0"/>
                <w:numId w:val="3"/>
              </w:numPr>
              <w:contextualSpacing/>
              <w:rPr>
                <w:vanish/>
              </w:rPr>
            </w:pPr>
          </w:p>
          <w:p w14:paraId="70BCD84E" w14:textId="77777777" w:rsidR="005067BE" w:rsidRPr="00A95F31" w:rsidRDefault="005067BE" w:rsidP="005067BE">
            <w:pPr>
              <w:numPr>
                <w:ilvl w:val="0"/>
                <w:numId w:val="3"/>
              </w:numPr>
              <w:contextualSpacing/>
              <w:rPr>
                <w:vanish/>
              </w:rPr>
            </w:pPr>
          </w:p>
          <w:p w14:paraId="17C30FBE" w14:textId="77777777" w:rsidR="005067BE" w:rsidRPr="00A95F31" w:rsidRDefault="005067BE" w:rsidP="005067BE">
            <w:pPr>
              <w:numPr>
                <w:ilvl w:val="0"/>
                <w:numId w:val="3"/>
              </w:numPr>
              <w:contextualSpacing/>
              <w:rPr>
                <w:vanish/>
              </w:rPr>
            </w:pPr>
          </w:p>
          <w:p w14:paraId="313F9E27" w14:textId="77777777" w:rsidR="005067BE" w:rsidRPr="00A95F31" w:rsidRDefault="005067BE" w:rsidP="005067BE">
            <w:pPr>
              <w:numPr>
                <w:ilvl w:val="0"/>
                <w:numId w:val="3"/>
              </w:numPr>
              <w:contextualSpacing/>
              <w:rPr>
                <w:vanish/>
              </w:rPr>
            </w:pPr>
          </w:p>
          <w:p w14:paraId="70A3057F" w14:textId="77777777" w:rsidR="005067BE" w:rsidRPr="00A95F31" w:rsidRDefault="005067BE" w:rsidP="005067BE">
            <w:pPr>
              <w:numPr>
                <w:ilvl w:val="0"/>
                <w:numId w:val="3"/>
              </w:numPr>
              <w:contextualSpacing/>
              <w:rPr>
                <w:vanish/>
              </w:rPr>
            </w:pPr>
          </w:p>
          <w:p w14:paraId="3916D658" w14:textId="77777777" w:rsidR="005067BE" w:rsidRPr="00A95F31" w:rsidRDefault="005067BE" w:rsidP="005067BE">
            <w:pPr>
              <w:numPr>
                <w:ilvl w:val="0"/>
                <w:numId w:val="3"/>
              </w:numPr>
              <w:contextualSpacing/>
              <w:rPr>
                <w:vanish/>
              </w:rPr>
            </w:pPr>
          </w:p>
          <w:p w14:paraId="3C29B587" w14:textId="77777777" w:rsidR="005067BE" w:rsidRDefault="005067BE" w:rsidP="005067BE">
            <w:pPr>
              <w:pStyle w:val="ListParagraph"/>
              <w:numPr>
                <w:ilvl w:val="1"/>
                <w:numId w:val="47"/>
              </w:numPr>
            </w:pPr>
            <w:r w:rsidRPr="00A95F31">
              <w:t>Have organisational and financial independence from Sport NZ, HPSNZ, and CNZ.</w:t>
            </w:r>
          </w:p>
          <w:p w14:paraId="2725C16E" w14:textId="77777777" w:rsidR="005067BE" w:rsidRDefault="005067BE" w:rsidP="005067BE">
            <w:pPr>
              <w:pStyle w:val="ListParagraph"/>
              <w:numPr>
                <w:ilvl w:val="1"/>
                <w:numId w:val="47"/>
              </w:numPr>
            </w:pPr>
            <w:r w:rsidRPr="00A95F31">
              <w:t>Be empowered to exert real power and speak up honestly for athletes.</w:t>
            </w:r>
          </w:p>
          <w:p w14:paraId="6E7A5414" w14:textId="77777777" w:rsidR="005067BE" w:rsidRDefault="005067BE" w:rsidP="005067BE">
            <w:pPr>
              <w:pStyle w:val="ListParagraph"/>
              <w:numPr>
                <w:ilvl w:val="1"/>
                <w:numId w:val="47"/>
              </w:numPr>
            </w:pPr>
            <w:r w:rsidRPr="00A95F31">
              <w:t>Have access to funded, independent HR support and advocates.</w:t>
            </w:r>
          </w:p>
          <w:p w14:paraId="4E2C763A" w14:textId="20F57C6E" w:rsidR="00827308" w:rsidRPr="005067BE" w:rsidRDefault="005067BE" w:rsidP="005067BE">
            <w:pPr>
              <w:pStyle w:val="ListParagraph"/>
              <w:numPr>
                <w:ilvl w:val="1"/>
                <w:numId w:val="47"/>
              </w:numPr>
            </w:pPr>
            <w:r w:rsidRPr="00A95F31">
              <w:t>Be a product of the athletes’ community.</w:t>
            </w:r>
          </w:p>
        </w:tc>
        <w:tc>
          <w:tcPr>
            <w:tcW w:w="10631" w:type="dxa"/>
          </w:tcPr>
          <w:p w14:paraId="1AC06F35" w14:textId="7C09A65B" w:rsidR="00827308" w:rsidRPr="00414BF2" w:rsidRDefault="00827308" w:rsidP="00827308">
            <w:pPr>
              <w:tabs>
                <w:tab w:val="left" w:pos="11064"/>
              </w:tabs>
            </w:pPr>
            <w:r w:rsidRPr="008C51FB">
              <w:t>Continue to support and refine CNZ AVC.</w:t>
            </w:r>
          </w:p>
        </w:tc>
      </w:tr>
      <w:tr w:rsidR="00827308" w:rsidRPr="00414BF2" w14:paraId="36436026" w14:textId="77777777" w:rsidTr="00BC42F2">
        <w:trPr>
          <w:trHeight w:val="484"/>
        </w:trPr>
        <w:tc>
          <w:tcPr>
            <w:tcW w:w="4673" w:type="dxa"/>
            <w:vMerge/>
          </w:tcPr>
          <w:p w14:paraId="4EB4499C" w14:textId="77777777" w:rsidR="00827308" w:rsidRPr="00414BF2" w:rsidRDefault="00827308" w:rsidP="00827308">
            <w:pPr>
              <w:tabs>
                <w:tab w:val="left" w:pos="11064"/>
              </w:tabs>
              <w:contextualSpacing/>
            </w:pPr>
          </w:p>
        </w:tc>
        <w:tc>
          <w:tcPr>
            <w:tcW w:w="10631" w:type="dxa"/>
          </w:tcPr>
          <w:p w14:paraId="7578CC52" w14:textId="193FDB3C" w:rsidR="00827308" w:rsidRPr="00414BF2" w:rsidRDefault="00827308" w:rsidP="00827308">
            <w:pPr>
              <w:tabs>
                <w:tab w:val="left" w:pos="11064"/>
              </w:tabs>
            </w:pPr>
            <w:r w:rsidRPr="008C51FB">
              <w:t>Support strategies for athlete engagement and empowerment (note HPSNZ guidance to come)</w:t>
            </w:r>
          </w:p>
        </w:tc>
      </w:tr>
      <w:tr w:rsidR="00827308" w:rsidRPr="00414BF2" w14:paraId="60C45DF8" w14:textId="77777777" w:rsidTr="00BC42F2">
        <w:trPr>
          <w:trHeight w:val="484"/>
        </w:trPr>
        <w:tc>
          <w:tcPr>
            <w:tcW w:w="4673" w:type="dxa"/>
            <w:vMerge/>
          </w:tcPr>
          <w:p w14:paraId="728CA3A2" w14:textId="77777777" w:rsidR="00827308" w:rsidRPr="00414BF2" w:rsidRDefault="00827308" w:rsidP="00827308">
            <w:pPr>
              <w:tabs>
                <w:tab w:val="left" w:pos="11064"/>
              </w:tabs>
              <w:contextualSpacing/>
            </w:pPr>
          </w:p>
        </w:tc>
        <w:tc>
          <w:tcPr>
            <w:tcW w:w="10631" w:type="dxa"/>
          </w:tcPr>
          <w:p w14:paraId="186E767D" w14:textId="41CA4F1C" w:rsidR="00827308" w:rsidRPr="00414BF2" w:rsidRDefault="00827308" w:rsidP="00827308">
            <w:pPr>
              <w:tabs>
                <w:tab w:val="left" w:pos="11064"/>
              </w:tabs>
            </w:pPr>
            <w:r w:rsidRPr="008C51FB">
              <w:t xml:space="preserve">Engage actively in athlete voice initiatives </w:t>
            </w:r>
          </w:p>
        </w:tc>
      </w:tr>
      <w:tr w:rsidR="00827308" w:rsidRPr="00414BF2" w14:paraId="7BEB6DD2" w14:textId="77777777" w:rsidTr="00BC42F2">
        <w:trPr>
          <w:trHeight w:val="484"/>
        </w:trPr>
        <w:tc>
          <w:tcPr>
            <w:tcW w:w="4673" w:type="dxa"/>
            <w:vMerge/>
          </w:tcPr>
          <w:p w14:paraId="09248245" w14:textId="77777777" w:rsidR="00827308" w:rsidRPr="00414BF2" w:rsidRDefault="00827308" w:rsidP="00827308">
            <w:pPr>
              <w:tabs>
                <w:tab w:val="left" w:pos="11064"/>
              </w:tabs>
              <w:contextualSpacing/>
            </w:pPr>
          </w:p>
        </w:tc>
        <w:tc>
          <w:tcPr>
            <w:tcW w:w="10631" w:type="dxa"/>
          </w:tcPr>
          <w:p w14:paraId="58A63927" w14:textId="25993DAE" w:rsidR="00827308" w:rsidRPr="00414BF2" w:rsidRDefault="00827308" w:rsidP="00827308">
            <w:pPr>
              <w:tabs>
                <w:tab w:val="left" w:pos="11064"/>
              </w:tabs>
            </w:pPr>
            <w:r w:rsidRPr="005B2B5B">
              <w:t xml:space="preserve">Review Athlete agreement (note HPSNZ guidance in this area to come) </w:t>
            </w:r>
          </w:p>
        </w:tc>
      </w:tr>
      <w:tr w:rsidR="00827308" w:rsidRPr="00414BF2" w14:paraId="3AF1E28C" w14:textId="77777777" w:rsidTr="00037164">
        <w:trPr>
          <w:trHeight w:val="1087"/>
        </w:trPr>
        <w:tc>
          <w:tcPr>
            <w:tcW w:w="4673" w:type="dxa"/>
            <w:vMerge/>
            <w:tcBorders>
              <w:bottom w:val="single" w:sz="4" w:space="0" w:color="auto"/>
            </w:tcBorders>
          </w:tcPr>
          <w:p w14:paraId="550930F6" w14:textId="77777777" w:rsidR="00827308" w:rsidRPr="00414BF2" w:rsidRDefault="00827308" w:rsidP="00827308">
            <w:pPr>
              <w:tabs>
                <w:tab w:val="left" w:pos="11064"/>
              </w:tabs>
              <w:contextualSpacing/>
            </w:pPr>
          </w:p>
        </w:tc>
        <w:tc>
          <w:tcPr>
            <w:tcW w:w="10631" w:type="dxa"/>
            <w:tcBorders>
              <w:bottom w:val="single" w:sz="4" w:space="0" w:color="auto"/>
            </w:tcBorders>
          </w:tcPr>
          <w:p w14:paraId="5CA82DCC" w14:textId="660ECCAF" w:rsidR="00827308" w:rsidRPr="00414BF2" w:rsidRDefault="00827308" w:rsidP="00827308">
            <w:pPr>
              <w:tabs>
                <w:tab w:val="left" w:pos="11064"/>
              </w:tabs>
            </w:pPr>
            <w:r>
              <w:t xml:space="preserve">Empower and support athlete engagement in the CNZ HP programme  </w:t>
            </w:r>
          </w:p>
        </w:tc>
      </w:tr>
      <w:tr w:rsidR="00037164" w:rsidRPr="00414BF2" w14:paraId="253CEF89" w14:textId="77777777" w:rsidTr="00037164">
        <w:trPr>
          <w:trHeight w:val="484"/>
        </w:trPr>
        <w:tc>
          <w:tcPr>
            <w:tcW w:w="4673" w:type="dxa"/>
            <w:tcBorders>
              <w:top w:val="single" w:sz="4" w:space="0" w:color="auto"/>
              <w:left w:val="nil"/>
              <w:bottom w:val="single" w:sz="4" w:space="0" w:color="auto"/>
              <w:right w:val="nil"/>
            </w:tcBorders>
          </w:tcPr>
          <w:p w14:paraId="740F20B0" w14:textId="77777777" w:rsidR="00037164" w:rsidRDefault="00037164" w:rsidP="005067BE">
            <w:pPr>
              <w:rPr>
                <w:b/>
                <w:bCs/>
              </w:rPr>
            </w:pPr>
          </w:p>
          <w:p w14:paraId="78B9127F" w14:textId="77777777" w:rsidR="00037164" w:rsidRDefault="00037164" w:rsidP="005067BE">
            <w:pPr>
              <w:rPr>
                <w:b/>
                <w:bCs/>
              </w:rPr>
            </w:pPr>
          </w:p>
          <w:p w14:paraId="4C9EDF84" w14:textId="77777777" w:rsidR="00037164" w:rsidRPr="005067BE" w:rsidRDefault="00037164" w:rsidP="005067BE">
            <w:pPr>
              <w:rPr>
                <w:b/>
                <w:bCs/>
              </w:rPr>
            </w:pPr>
          </w:p>
        </w:tc>
        <w:tc>
          <w:tcPr>
            <w:tcW w:w="10631" w:type="dxa"/>
            <w:tcBorders>
              <w:top w:val="single" w:sz="4" w:space="0" w:color="auto"/>
              <w:left w:val="nil"/>
              <w:bottom w:val="single" w:sz="4" w:space="0" w:color="auto"/>
              <w:right w:val="nil"/>
            </w:tcBorders>
          </w:tcPr>
          <w:p w14:paraId="05F1B86D" w14:textId="77777777" w:rsidR="00037164" w:rsidRDefault="00037164" w:rsidP="005067BE">
            <w:pPr>
              <w:tabs>
                <w:tab w:val="left" w:pos="11064"/>
              </w:tabs>
            </w:pPr>
          </w:p>
        </w:tc>
      </w:tr>
      <w:tr w:rsidR="005067BE" w:rsidRPr="00414BF2" w14:paraId="41C7D9E2" w14:textId="77777777" w:rsidTr="00037164">
        <w:trPr>
          <w:trHeight w:val="484"/>
        </w:trPr>
        <w:tc>
          <w:tcPr>
            <w:tcW w:w="4673" w:type="dxa"/>
            <w:vMerge w:val="restart"/>
            <w:tcBorders>
              <w:top w:val="single" w:sz="4" w:space="0" w:color="auto"/>
            </w:tcBorders>
          </w:tcPr>
          <w:p w14:paraId="2C94EB45" w14:textId="77777777" w:rsidR="005067BE" w:rsidRPr="005067BE" w:rsidRDefault="005067BE" w:rsidP="005067BE">
            <w:pPr>
              <w:rPr>
                <w:b/>
                <w:bCs/>
              </w:rPr>
            </w:pPr>
            <w:r w:rsidRPr="005067BE">
              <w:rPr>
                <w:b/>
                <w:bCs/>
              </w:rPr>
              <w:lastRenderedPageBreak/>
              <w:t>FA5.2</w:t>
            </w:r>
          </w:p>
          <w:p w14:paraId="2DCCAC71" w14:textId="68128FE7" w:rsidR="005067BE" w:rsidRPr="00414BF2" w:rsidRDefault="005067BE" w:rsidP="005067BE">
            <w:pPr>
              <w:tabs>
                <w:tab w:val="left" w:pos="11064"/>
              </w:tabs>
              <w:contextualSpacing/>
            </w:pPr>
            <w:r w:rsidRPr="00025C8E">
              <w:t>CNZ continue with work updating its athlete agreements, with a focus on addressing the current imbalance in its favour, and CNZ and HPSNZ take steps to implement the recommendations set out in paragraph 293, including reviewing the contracting model.</w:t>
            </w:r>
          </w:p>
        </w:tc>
        <w:tc>
          <w:tcPr>
            <w:tcW w:w="10631" w:type="dxa"/>
            <w:tcBorders>
              <w:top w:val="single" w:sz="4" w:space="0" w:color="auto"/>
            </w:tcBorders>
          </w:tcPr>
          <w:p w14:paraId="20002CEA" w14:textId="35C5D399" w:rsidR="005067BE" w:rsidRPr="00414BF2" w:rsidRDefault="005067BE" w:rsidP="005067BE">
            <w:pPr>
              <w:tabs>
                <w:tab w:val="left" w:pos="11064"/>
              </w:tabs>
            </w:pPr>
            <w:r>
              <w:t xml:space="preserve">Priority to update the Athlete agreement including meaningful engagement with athletes. </w:t>
            </w:r>
          </w:p>
        </w:tc>
      </w:tr>
      <w:tr w:rsidR="005067BE" w:rsidRPr="00414BF2" w14:paraId="2456D117" w14:textId="77777777" w:rsidTr="00BC42F2">
        <w:trPr>
          <w:trHeight w:val="484"/>
        </w:trPr>
        <w:tc>
          <w:tcPr>
            <w:tcW w:w="4673" w:type="dxa"/>
            <w:vMerge/>
          </w:tcPr>
          <w:p w14:paraId="01B712C4" w14:textId="77777777" w:rsidR="005067BE" w:rsidRPr="00414BF2" w:rsidRDefault="005067BE" w:rsidP="005067BE">
            <w:pPr>
              <w:tabs>
                <w:tab w:val="left" w:pos="11064"/>
              </w:tabs>
              <w:contextualSpacing/>
            </w:pPr>
          </w:p>
        </w:tc>
        <w:tc>
          <w:tcPr>
            <w:tcW w:w="10631" w:type="dxa"/>
          </w:tcPr>
          <w:p w14:paraId="0153759E" w14:textId="77777777" w:rsidR="005067BE" w:rsidRDefault="005067BE" w:rsidP="005067BE">
            <w:pPr>
              <w:tabs>
                <w:tab w:val="left" w:pos="11064"/>
              </w:tabs>
            </w:pPr>
            <w:r>
              <w:t xml:space="preserve">To undertake consultation and conclude process in a timely and positive way. </w:t>
            </w:r>
          </w:p>
          <w:p w14:paraId="67578A05" w14:textId="77777777" w:rsidR="005067BE" w:rsidRPr="00414BF2" w:rsidRDefault="005067BE" w:rsidP="005067BE">
            <w:pPr>
              <w:tabs>
                <w:tab w:val="left" w:pos="11064"/>
              </w:tabs>
            </w:pPr>
          </w:p>
        </w:tc>
      </w:tr>
      <w:tr w:rsidR="005067BE" w:rsidRPr="00414BF2" w14:paraId="39DE9370" w14:textId="77777777" w:rsidTr="00037164">
        <w:trPr>
          <w:trHeight w:val="926"/>
        </w:trPr>
        <w:tc>
          <w:tcPr>
            <w:tcW w:w="4673" w:type="dxa"/>
            <w:vMerge/>
          </w:tcPr>
          <w:p w14:paraId="0FE98ECA" w14:textId="77777777" w:rsidR="005067BE" w:rsidRPr="00414BF2" w:rsidRDefault="005067BE" w:rsidP="005067BE">
            <w:pPr>
              <w:tabs>
                <w:tab w:val="left" w:pos="11064"/>
              </w:tabs>
              <w:contextualSpacing/>
            </w:pPr>
          </w:p>
        </w:tc>
        <w:tc>
          <w:tcPr>
            <w:tcW w:w="10631" w:type="dxa"/>
          </w:tcPr>
          <w:p w14:paraId="0E1795E8" w14:textId="79D3EA7D" w:rsidR="005067BE" w:rsidRPr="00414BF2" w:rsidRDefault="005067BE" w:rsidP="005067BE">
            <w:pPr>
              <w:tabs>
                <w:tab w:val="left" w:pos="11064"/>
              </w:tabs>
            </w:pPr>
            <w:r>
              <w:t>Note HPSNZ to prioritise appropriate athlete contracts. Awaiting guidance on this as per #1 in Action plan.</w:t>
            </w:r>
          </w:p>
        </w:tc>
      </w:tr>
      <w:tr w:rsidR="00036B32" w:rsidRPr="00414BF2" w14:paraId="517497F5" w14:textId="77777777" w:rsidTr="0014093F">
        <w:trPr>
          <w:trHeight w:val="712"/>
        </w:trPr>
        <w:tc>
          <w:tcPr>
            <w:tcW w:w="15304" w:type="dxa"/>
            <w:gridSpan w:val="2"/>
            <w:shd w:val="clear" w:color="auto" w:fill="D9D9D9" w:themeFill="background1" w:themeFillShade="D9"/>
          </w:tcPr>
          <w:p w14:paraId="43009FCB" w14:textId="77777777" w:rsidR="0014093F" w:rsidRDefault="0014093F" w:rsidP="001409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FA6: Athletes Performance Pathway</w:t>
            </w:r>
            <w:r>
              <w:rPr>
                <w:rStyle w:val="eop"/>
                <w:rFonts w:ascii="Calibri" w:hAnsi="Calibri" w:cs="Calibri"/>
              </w:rPr>
              <w:t> </w:t>
            </w:r>
          </w:p>
          <w:p w14:paraId="2C2CE5B2" w14:textId="2272D1D6" w:rsidR="00036B32" w:rsidRPr="0014093F" w:rsidRDefault="0014093F" w:rsidP="001409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CNZ to reconsider and clarify the athlete’s performance pathways and revisit the scope and processes around centralisation of its athletes and programmes</w:t>
            </w:r>
            <w:r>
              <w:rPr>
                <w:rStyle w:val="normaltextrun"/>
                <w:rFonts w:ascii="Calibri" w:hAnsi="Calibri" w:cs="Calibri"/>
                <w:b/>
                <w:bCs/>
                <w:sz w:val="22"/>
                <w:szCs w:val="22"/>
              </w:rPr>
              <w:t>.</w:t>
            </w:r>
            <w:r>
              <w:rPr>
                <w:rStyle w:val="eop"/>
                <w:rFonts w:ascii="Calibri" w:hAnsi="Calibri" w:cs="Calibri"/>
                <w:sz w:val="22"/>
                <w:szCs w:val="22"/>
              </w:rPr>
              <w:t> </w:t>
            </w:r>
          </w:p>
        </w:tc>
      </w:tr>
      <w:tr w:rsidR="00467D9B" w:rsidRPr="00414BF2" w14:paraId="7BA4B3C1" w14:textId="77777777" w:rsidTr="00A21277">
        <w:trPr>
          <w:trHeight w:val="309"/>
        </w:trPr>
        <w:tc>
          <w:tcPr>
            <w:tcW w:w="4673" w:type="dxa"/>
            <w:vMerge w:val="restart"/>
          </w:tcPr>
          <w:p w14:paraId="704E9584" w14:textId="77777777" w:rsidR="00467D9B" w:rsidRDefault="00467D9B" w:rsidP="00467D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FA6.1</w:t>
            </w:r>
            <w:r>
              <w:rPr>
                <w:rStyle w:val="eop"/>
                <w:rFonts w:ascii="Calibri" w:hAnsi="Calibri" w:cs="Calibri"/>
                <w:sz w:val="22"/>
                <w:szCs w:val="22"/>
              </w:rPr>
              <w:t> </w:t>
            </w:r>
          </w:p>
          <w:p w14:paraId="11CAEE07" w14:textId="77777777" w:rsidR="00467D9B" w:rsidRDefault="00467D9B" w:rsidP="00467D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CNZ, with support from HPSNZ, implement a clearer development and pathways process for personnel, including in relation to athlete IPPs, alongside the other recommendations set out in paragraphs 199 and 202.</w:t>
            </w:r>
            <w:r>
              <w:rPr>
                <w:rStyle w:val="eop"/>
                <w:rFonts w:ascii="Calibri" w:hAnsi="Calibri" w:cs="Calibri"/>
                <w:sz w:val="22"/>
                <w:szCs w:val="22"/>
              </w:rPr>
              <w:t> </w:t>
            </w:r>
          </w:p>
          <w:p w14:paraId="311A4CCC" w14:textId="77777777" w:rsidR="00467D9B" w:rsidRDefault="00467D9B" w:rsidP="00467D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F677FC" w14:textId="77777777" w:rsidR="00467D9B" w:rsidRPr="00414BF2" w:rsidRDefault="00467D9B" w:rsidP="00467D9B">
            <w:pPr>
              <w:tabs>
                <w:tab w:val="left" w:pos="11064"/>
              </w:tabs>
              <w:contextualSpacing/>
            </w:pPr>
          </w:p>
        </w:tc>
        <w:tc>
          <w:tcPr>
            <w:tcW w:w="10631" w:type="dxa"/>
          </w:tcPr>
          <w:p w14:paraId="0A65BA32" w14:textId="0393B24D" w:rsidR="00467D9B" w:rsidRPr="00AF7010" w:rsidRDefault="00467D9B" w:rsidP="00AF7010">
            <w:pPr>
              <w:pStyle w:val="paragraph"/>
              <w:spacing w:before="0" w:beforeAutospacing="0" w:after="0" w:afterAutospacing="0"/>
              <w:textAlignment w:val="baseline"/>
              <w:divId w:val="1324703176"/>
              <w:rPr>
                <w:rFonts w:ascii="Segoe UI" w:hAnsi="Segoe UI" w:cs="Segoe UI"/>
                <w:sz w:val="18"/>
                <w:szCs w:val="18"/>
              </w:rPr>
            </w:pPr>
            <w:r>
              <w:rPr>
                <w:rStyle w:val="normaltextrun"/>
                <w:rFonts w:ascii="Calibri" w:hAnsi="Calibri" w:cs="Calibri"/>
                <w:sz w:val="22"/>
                <w:szCs w:val="22"/>
              </w:rPr>
              <w:t>CNZ to implement best practise IPPs for all athletes in its programme.</w:t>
            </w:r>
            <w:r>
              <w:rPr>
                <w:rStyle w:val="eop"/>
                <w:rFonts w:ascii="Calibri" w:hAnsi="Calibri" w:cs="Calibri"/>
                <w:sz w:val="22"/>
                <w:szCs w:val="22"/>
              </w:rPr>
              <w:t> </w:t>
            </w:r>
          </w:p>
        </w:tc>
      </w:tr>
      <w:tr w:rsidR="00467D9B" w:rsidRPr="00414BF2" w14:paraId="7752E130" w14:textId="77777777" w:rsidTr="00037164">
        <w:trPr>
          <w:trHeight w:val="306"/>
        </w:trPr>
        <w:tc>
          <w:tcPr>
            <w:tcW w:w="4673" w:type="dxa"/>
            <w:vMerge/>
          </w:tcPr>
          <w:p w14:paraId="072B084F"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18EA8090" w14:textId="185C5A90" w:rsidR="00467D9B" w:rsidRPr="00AF7010" w:rsidRDefault="00467D9B" w:rsidP="00AF7010">
            <w:pPr>
              <w:pStyle w:val="paragraph"/>
              <w:spacing w:before="0" w:beforeAutospacing="0" w:after="0" w:afterAutospacing="0"/>
              <w:textAlignment w:val="baseline"/>
              <w:divId w:val="1505972386"/>
              <w:rPr>
                <w:rFonts w:ascii="Segoe UI" w:hAnsi="Segoe UI" w:cs="Segoe UI"/>
                <w:sz w:val="18"/>
                <w:szCs w:val="18"/>
              </w:rPr>
            </w:pPr>
            <w:r>
              <w:rPr>
                <w:rStyle w:val="normaltextrun"/>
                <w:rFonts w:ascii="Calibri" w:hAnsi="Calibri" w:cs="Calibri"/>
                <w:sz w:val="22"/>
                <w:szCs w:val="22"/>
              </w:rPr>
              <w:t>Align with HPSNZ guidance IPP implementation (# 5 action) </w:t>
            </w:r>
            <w:r>
              <w:rPr>
                <w:rStyle w:val="eop"/>
                <w:rFonts w:ascii="Calibri" w:hAnsi="Calibri" w:cs="Calibri"/>
                <w:sz w:val="22"/>
                <w:szCs w:val="22"/>
              </w:rPr>
              <w:t> </w:t>
            </w:r>
          </w:p>
        </w:tc>
      </w:tr>
      <w:tr w:rsidR="00467D9B" w:rsidRPr="00414BF2" w14:paraId="58700727" w14:textId="77777777" w:rsidTr="00037164">
        <w:trPr>
          <w:trHeight w:val="306"/>
        </w:trPr>
        <w:tc>
          <w:tcPr>
            <w:tcW w:w="4673" w:type="dxa"/>
            <w:vMerge/>
          </w:tcPr>
          <w:p w14:paraId="4195D637"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2C47C57D" w14:textId="7AA828DF" w:rsidR="00467D9B" w:rsidRPr="001F0D68" w:rsidRDefault="00467D9B" w:rsidP="001F0D68">
            <w:pPr>
              <w:pStyle w:val="paragraph"/>
              <w:spacing w:before="0" w:beforeAutospacing="0" w:after="0" w:afterAutospacing="0"/>
              <w:textAlignment w:val="baseline"/>
              <w:divId w:val="1401901206"/>
              <w:rPr>
                <w:rFonts w:ascii="Segoe UI" w:hAnsi="Segoe UI" w:cs="Segoe UI"/>
                <w:sz w:val="18"/>
                <w:szCs w:val="18"/>
              </w:rPr>
            </w:pPr>
            <w:r>
              <w:rPr>
                <w:rStyle w:val="normaltextrun"/>
                <w:rFonts w:ascii="Calibri" w:hAnsi="Calibri" w:cs="Calibri"/>
                <w:sz w:val="22"/>
                <w:szCs w:val="22"/>
              </w:rPr>
              <w:t>CNZ to develop and articulate the coach development and performance pathway and expectations for CNZ Coaches. </w:t>
            </w:r>
            <w:r>
              <w:rPr>
                <w:rStyle w:val="eop"/>
                <w:rFonts w:ascii="Calibri" w:hAnsi="Calibri" w:cs="Calibri"/>
                <w:sz w:val="22"/>
                <w:szCs w:val="22"/>
              </w:rPr>
              <w:t> </w:t>
            </w:r>
          </w:p>
        </w:tc>
      </w:tr>
      <w:tr w:rsidR="00467D9B" w:rsidRPr="00414BF2" w14:paraId="5C49F6B3" w14:textId="77777777" w:rsidTr="00037164">
        <w:trPr>
          <w:trHeight w:val="306"/>
        </w:trPr>
        <w:tc>
          <w:tcPr>
            <w:tcW w:w="4673" w:type="dxa"/>
            <w:vMerge/>
          </w:tcPr>
          <w:p w14:paraId="5CCF4C97"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17BA2C80" w14:textId="5DB1B6AB" w:rsidR="00467D9B" w:rsidRPr="001F0D68" w:rsidRDefault="00467D9B" w:rsidP="001F0D68">
            <w:pPr>
              <w:pStyle w:val="paragraph"/>
              <w:spacing w:before="0" w:beforeAutospacing="0" w:after="0" w:afterAutospacing="0"/>
              <w:textAlignment w:val="baseline"/>
              <w:divId w:val="914751613"/>
              <w:rPr>
                <w:rFonts w:ascii="Segoe UI" w:hAnsi="Segoe UI" w:cs="Segoe UI"/>
                <w:sz w:val="18"/>
                <w:szCs w:val="18"/>
              </w:rPr>
            </w:pPr>
            <w:r>
              <w:rPr>
                <w:rStyle w:val="normaltextrun"/>
                <w:rFonts w:ascii="Calibri" w:hAnsi="Calibri" w:cs="Calibri"/>
                <w:sz w:val="22"/>
                <w:szCs w:val="22"/>
              </w:rPr>
              <w:t>Ensure the pathway is clear and well published to stakeholders, noting opportunities to support coach development. </w:t>
            </w:r>
            <w:r>
              <w:rPr>
                <w:rStyle w:val="eop"/>
                <w:rFonts w:ascii="Calibri" w:hAnsi="Calibri" w:cs="Calibri"/>
                <w:sz w:val="22"/>
                <w:szCs w:val="22"/>
              </w:rPr>
              <w:t> </w:t>
            </w:r>
          </w:p>
        </w:tc>
      </w:tr>
      <w:tr w:rsidR="00467D9B" w:rsidRPr="00414BF2" w14:paraId="46774465" w14:textId="77777777" w:rsidTr="00037164">
        <w:trPr>
          <w:trHeight w:val="306"/>
        </w:trPr>
        <w:tc>
          <w:tcPr>
            <w:tcW w:w="4673" w:type="dxa"/>
            <w:vMerge/>
          </w:tcPr>
          <w:p w14:paraId="1C8A26D1"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7AFFE814" w14:textId="539E002D" w:rsidR="00467D9B" w:rsidRPr="00AF7010" w:rsidRDefault="00467D9B" w:rsidP="00AF7010">
            <w:pPr>
              <w:pStyle w:val="paragraph"/>
              <w:spacing w:before="0" w:beforeAutospacing="0" w:after="0" w:afterAutospacing="0"/>
              <w:textAlignment w:val="baseline"/>
              <w:divId w:val="1582637730"/>
              <w:rPr>
                <w:rFonts w:ascii="Segoe UI" w:hAnsi="Segoe UI" w:cs="Segoe UI"/>
                <w:sz w:val="18"/>
                <w:szCs w:val="18"/>
              </w:rPr>
            </w:pPr>
            <w:r>
              <w:rPr>
                <w:rStyle w:val="normaltextrun"/>
                <w:rFonts w:ascii="Calibri" w:hAnsi="Calibri" w:cs="Calibri"/>
                <w:sz w:val="22"/>
                <w:szCs w:val="22"/>
              </w:rPr>
              <w:t>Implement coach development and performance plans with PD, training, mentoring and support </w:t>
            </w:r>
            <w:r>
              <w:rPr>
                <w:rStyle w:val="eop"/>
                <w:rFonts w:ascii="Calibri" w:hAnsi="Calibri" w:cs="Calibri"/>
                <w:sz w:val="22"/>
                <w:szCs w:val="22"/>
              </w:rPr>
              <w:t> </w:t>
            </w:r>
          </w:p>
        </w:tc>
      </w:tr>
      <w:tr w:rsidR="00467D9B" w:rsidRPr="00414BF2" w14:paraId="43935C69" w14:textId="77777777" w:rsidTr="00037164">
        <w:trPr>
          <w:trHeight w:val="306"/>
        </w:trPr>
        <w:tc>
          <w:tcPr>
            <w:tcW w:w="4673" w:type="dxa"/>
            <w:vMerge/>
          </w:tcPr>
          <w:p w14:paraId="6887BDB7"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3A860C51" w14:textId="57DD74BA" w:rsidR="00467D9B" w:rsidRPr="00AF7010" w:rsidRDefault="00467D9B" w:rsidP="00467D9B">
            <w:pPr>
              <w:tabs>
                <w:tab w:val="left" w:pos="11064"/>
              </w:tabs>
              <w:rPr>
                <w:rFonts w:ascii="Calibri" w:hAnsi="Calibri" w:cs="Calibri"/>
              </w:rPr>
            </w:pPr>
            <w:r>
              <w:rPr>
                <w:rStyle w:val="normaltextrun"/>
                <w:rFonts w:ascii="Calibri" w:hAnsi="Calibri" w:cs="Calibri"/>
              </w:rPr>
              <w:t>Optimise training, development, and support for coaches. </w:t>
            </w:r>
            <w:r>
              <w:rPr>
                <w:rStyle w:val="eop"/>
                <w:rFonts w:ascii="Calibri" w:hAnsi="Calibri" w:cs="Calibri"/>
              </w:rPr>
              <w:t> </w:t>
            </w:r>
          </w:p>
        </w:tc>
      </w:tr>
      <w:tr w:rsidR="00467D9B" w:rsidRPr="00414BF2" w14:paraId="135C4273" w14:textId="77777777" w:rsidTr="00037164">
        <w:trPr>
          <w:trHeight w:val="306"/>
        </w:trPr>
        <w:tc>
          <w:tcPr>
            <w:tcW w:w="4673" w:type="dxa"/>
            <w:vMerge/>
          </w:tcPr>
          <w:p w14:paraId="074D11F2" w14:textId="77777777" w:rsidR="00467D9B" w:rsidRDefault="00467D9B" w:rsidP="00467D9B">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32B636AC" w14:textId="3A6ACE7F" w:rsidR="00467D9B" w:rsidRPr="00AF7010" w:rsidRDefault="00467D9B" w:rsidP="00467D9B">
            <w:pPr>
              <w:tabs>
                <w:tab w:val="left" w:pos="11064"/>
              </w:tabs>
              <w:rPr>
                <w:rFonts w:ascii="Calibri" w:hAnsi="Calibri" w:cs="Calibri"/>
              </w:rPr>
            </w:pPr>
            <w:r>
              <w:rPr>
                <w:rStyle w:val="normaltextrun"/>
                <w:rFonts w:ascii="Calibri" w:hAnsi="Calibri" w:cs="Calibri"/>
              </w:rPr>
              <w:t>HPSNZ to support and add value in terms of PD, training, development, and mentoring.  </w:t>
            </w:r>
            <w:r>
              <w:rPr>
                <w:rStyle w:val="eop"/>
                <w:rFonts w:ascii="Calibri" w:hAnsi="Calibri" w:cs="Calibri"/>
              </w:rPr>
              <w:t> </w:t>
            </w:r>
          </w:p>
        </w:tc>
      </w:tr>
      <w:tr w:rsidR="00036B32" w:rsidRPr="00414BF2" w14:paraId="4D70B10B" w14:textId="77777777" w:rsidTr="00037164">
        <w:trPr>
          <w:trHeight w:val="926"/>
        </w:trPr>
        <w:tc>
          <w:tcPr>
            <w:tcW w:w="4673" w:type="dxa"/>
          </w:tcPr>
          <w:p w14:paraId="22BDEF4C" w14:textId="77777777" w:rsidR="008D50A5" w:rsidRDefault="008D50A5" w:rsidP="008D5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FA6.2</w:t>
            </w:r>
            <w:r>
              <w:rPr>
                <w:rStyle w:val="eop"/>
                <w:rFonts w:ascii="Calibri" w:hAnsi="Calibri" w:cs="Calibri"/>
                <w:sz w:val="22"/>
                <w:szCs w:val="22"/>
              </w:rPr>
              <w:t> </w:t>
            </w:r>
          </w:p>
          <w:p w14:paraId="6B91FD31" w14:textId="77777777" w:rsidR="008D50A5" w:rsidRDefault="008D50A5" w:rsidP="008D5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CNZ expand and clarify regional development pathways as set out in paragraph 215, with support from HPSNZ, as funding allows.</w:t>
            </w:r>
            <w:r>
              <w:rPr>
                <w:rStyle w:val="eop"/>
                <w:rFonts w:ascii="Calibri" w:hAnsi="Calibri" w:cs="Calibri"/>
                <w:sz w:val="22"/>
                <w:szCs w:val="22"/>
              </w:rPr>
              <w:t> </w:t>
            </w:r>
          </w:p>
          <w:p w14:paraId="7890E32A" w14:textId="77777777" w:rsidR="00036B32" w:rsidRPr="00414BF2" w:rsidRDefault="00036B32" w:rsidP="005067BE">
            <w:pPr>
              <w:tabs>
                <w:tab w:val="left" w:pos="11064"/>
              </w:tabs>
              <w:contextualSpacing/>
            </w:pPr>
          </w:p>
        </w:tc>
        <w:tc>
          <w:tcPr>
            <w:tcW w:w="10631" w:type="dxa"/>
          </w:tcPr>
          <w:p w14:paraId="683CF212" w14:textId="77777777" w:rsidR="00714DA5" w:rsidRDefault="00714DA5" w:rsidP="00714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CNZ to reconsider the athlete’s performance pathways and revisit the scope, processes, requirements around centralisation of its athletes and programmes. </w:t>
            </w:r>
            <w:r>
              <w:rPr>
                <w:rStyle w:val="eop"/>
                <w:rFonts w:ascii="Calibri" w:hAnsi="Calibri" w:cs="Calibri"/>
                <w:sz w:val="22"/>
                <w:szCs w:val="22"/>
              </w:rPr>
              <w:t> </w:t>
            </w:r>
          </w:p>
          <w:p w14:paraId="051F9986" w14:textId="77777777" w:rsidR="00714DA5" w:rsidRDefault="00714DA5" w:rsidP="00714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Document the pathways from regional to national performance programmes. </w:t>
            </w:r>
            <w:r>
              <w:rPr>
                <w:rStyle w:val="eop"/>
                <w:rFonts w:ascii="Calibri" w:hAnsi="Calibri" w:cs="Calibri"/>
                <w:sz w:val="22"/>
                <w:szCs w:val="22"/>
              </w:rPr>
              <w:t> </w:t>
            </w:r>
          </w:p>
          <w:p w14:paraId="28515C42" w14:textId="77777777" w:rsidR="00714DA5" w:rsidRDefault="00714DA5" w:rsidP="00714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Consult with stakeholders and publish outcomes </w:t>
            </w:r>
            <w:r>
              <w:rPr>
                <w:rStyle w:val="eop"/>
                <w:rFonts w:ascii="Calibri" w:hAnsi="Calibri" w:cs="Calibri"/>
                <w:sz w:val="22"/>
                <w:szCs w:val="22"/>
              </w:rPr>
              <w:t> </w:t>
            </w:r>
          </w:p>
          <w:p w14:paraId="544D1AC1" w14:textId="77777777" w:rsidR="00714DA5" w:rsidRDefault="00714DA5" w:rsidP="00714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Note this needs to include all CNZ disciplines </w:t>
            </w:r>
            <w:r>
              <w:rPr>
                <w:rStyle w:val="eop"/>
                <w:rFonts w:ascii="Calibri" w:hAnsi="Calibri" w:cs="Calibri"/>
                <w:sz w:val="22"/>
                <w:szCs w:val="22"/>
              </w:rPr>
              <w:t> </w:t>
            </w:r>
          </w:p>
          <w:p w14:paraId="2D084298" w14:textId="77777777" w:rsidR="00714DA5" w:rsidRDefault="00714DA5" w:rsidP="00714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Liaise with HPSNZ in the above. </w:t>
            </w:r>
            <w:r>
              <w:rPr>
                <w:rStyle w:val="eop"/>
                <w:rFonts w:ascii="Calibri" w:hAnsi="Calibri" w:cs="Calibri"/>
                <w:sz w:val="22"/>
                <w:szCs w:val="22"/>
              </w:rPr>
              <w:t> </w:t>
            </w:r>
          </w:p>
          <w:p w14:paraId="6967C801" w14:textId="77777777" w:rsidR="00036B32" w:rsidRDefault="00036B32" w:rsidP="005067BE">
            <w:pPr>
              <w:tabs>
                <w:tab w:val="left" w:pos="11064"/>
              </w:tabs>
            </w:pPr>
          </w:p>
        </w:tc>
      </w:tr>
      <w:tr w:rsidR="00BC66DF" w:rsidRPr="00414BF2" w14:paraId="1D33A1BE" w14:textId="77777777" w:rsidTr="00714DA5">
        <w:trPr>
          <w:trHeight w:val="404"/>
        </w:trPr>
        <w:tc>
          <w:tcPr>
            <w:tcW w:w="4673" w:type="dxa"/>
            <w:vMerge w:val="restart"/>
          </w:tcPr>
          <w:p w14:paraId="6424FBC0" w14:textId="77777777" w:rsidR="00BC66DF" w:rsidRDefault="00BC66DF" w:rsidP="00BC6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FA6.3</w:t>
            </w:r>
            <w:r>
              <w:rPr>
                <w:rStyle w:val="eop"/>
                <w:rFonts w:ascii="Calibri" w:hAnsi="Calibri" w:cs="Calibri"/>
                <w:sz w:val="22"/>
                <w:szCs w:val="22"/>
              </w:rPr>
              <w:t> </w:t>
            </w:r>
          </w:p>
          <w:p w14:paraId="79DAD7BA" w14:textId="77777777" w:rsidR="00BC66DF" w:rsidRDefault="00BC66DF" w:rsidP="00BC6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HPSNZ and CNZ consider changes to induction, selection and exit support that are required to meet current needs, including those steps set out in paragraphs 239, 244, and 252.</w:t>
            </w:r>
            <w:r>
              <w:rPr>
                <w:rStyle w:val="eop"/>
                <w:rFonts w:ascii="Calibri" w:hAnsi="Calibri" w:cs="Calibri"/>
                <w:sz w:val="22"/>
                <w:szCs w:val="22"/>
              </w:rPr>
              <w:t> </w:t>
            </w:r>
          </w:p>
          <w:p w14:paraId="4A8EDC8B" w14:textId="77777777" w:rsidR="00BC66DF" w:rsidRDefault="00BC66DF" w:rsidP="00BC66DF">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0361DF74" w14:textId="77777777" w:rsidR="00BC66DF" w:rsidRDefault="00BC66DF" w:rsidP="00BC66DF">
            <w:pPr>
              <w:pStyle w:val="paragraph"/>
              <w:spacing w:before="0" w:beforeAutospacing="0" w:after="0" w:afterAutospacing="0"/>
              <w:textAlignment w:val="baseline"/>
              <w:divId w:val="1191146945"/>
              <w:rPr>
                <w:rFonts w:ascii="Segoe UI" w:hAnsi="Segoe UI" w:cs="Segoe UI"/>
                <w:sz w:val="18"/>
                <w:szCs w:val="18"/>
              </w:rPr>
            </w:pPr>
            <w:r>
              <w:rPr>
                <w:rStyle w:val="normaltextrun"/>
                <w:rFonts w:ascii="Calibri" w:hAnsi="Calibri" w:cs="Calibri"/>
                <w:sz w:val="22"/>
                <w:szCs w:val="22"/>
              </w:rPr>
              <w:t>Develop and embed policies and processes in all transitions, including induction into the programme, and exiting. Review onboarding for athletes into CNZ HP, with particular attention on centralised athletes. </w:t>
            </w:r>
            <w:r>
              <w:rPr>
                <w:rStyle w:val="eop"/>
                <w:rFonts w:ascii="Calibri" w:hAnsi="Calibri" w:cs="Calibri"/>
                <w:sz w:val="22"/>
                <w:szCs w:val="22"/>
              </w:rPr>
              <w:t> </w:t>
            </w:r>
          </w:p>
          <w:p w14:paraId="65AF9D55" w14:textId="5CC60AC1" w:rsidR="00BC66DF" w:rsidRDefault="00BC66DF" w:rsidP="00BC66DF">
            <w:pPr>
              <w:tabs>
                <w:tab w:val="left" w:pos="11064"/>
              </w:tabs>
            </w:pPr>
            <w:r>
              <w:rPr>
                <w:rStyle w:val="eop"/>
                <w:rFonts w:ascii="Calibri" w:hAnsi="Calibri" w:cs="Calibri"/>
              </w:rPr>
              <w:t> </w:t>
            </w:r>
          </w:p>
        </w:tc>
      </w:tr>
      <w:tr w:rsidR="00BC66DF" w:rsidRPr="00414BF2" w14:paraId="1D529CDC" w14:textId="77777777" w:rsidTr="00037164">
        <w:trPr>
          <w:trHeight w:val="403"/>
        </w:trPr>
        <w:tc>
          <w:tcPr>
            <w:tcW w:w="4673" w:type="dxa"/>
            <w:vMerge/>
          </w:tcPr>
          <w:p w14:paraId="11B0C24A" w14:textId="77777777" w:rsidR="00BC66DF" w:rsidRDefault="00BC66DF" w:rsidP="00BC66DF">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451A4EEC" w14:textId="42D5E2B0" w:rsidR="00BC66DF" w:rsidRPr="001F0D68" w:rsidRDefault="00BC66DF" w:rsidP="001F0D68">
            <w:pPr>
              <w:pStyle w:val="paragraph"/>
              <w:spacing w:before="0" w:beforeAutospacing="0" w:after="0" w:afterAutospacing="0"/>
              <w:textAlignment w:val="baseline"/>
              <w:divId w:val="416556024"/>
              <w:rPr>
                <w:rFonts w:ascii="Segoe UI" w:hAnsi="Segoe UI" w:cs="Segoe UI"/>
                <w:sz w:val="18"/>
                <w:szCs w:val="18"/>
              </w:rPr>
            </w:pPr>
            <w:r>
              <w:rPr>
                <w:rStyle w:val="normaltextrun"/>
                <w:rFonts w:ascii="Calibri" w:hAnsi="Calibri" w:cs="Calibri"/>
                <w:sz w:val="22"/>
                <w:szCs w:val="22"/>
              </w:rPr>
              <w:t>Selection - Document processes and selection policies and ensure they are accessible to athletes, and regularly discussed. </w:t>
            </w:r>
            <w:r>
              <w:rPr>
                <w:rStyle w:val="eop"/>
                <w:rFonts w:ascii="Calibri" w:hAnsi="Calibri" w:cs="Calibri"/>
                <w:sz w:val="22"/>
                <w:szCs w:val="22"/>
              </w:rPr>
              <w:t> </w:t>
            </w:r>
          </w:p>
        </w:tc>
      </w:tr>
      <w:tr w:rsidR="00BC66DF" w:rsidRPr="00414BF2" w14:paraId="1C5DC0D7" w14:textId="77777777" w:rsidTr="00037164">
        <w:trPr>
          <w:trHeight w:val="403"/>
        </w:trPr>
        <w:tc>
          <w:tcPr>
            <w:tcW w:w="4673" w:type="dxa"/>
            <w:vMerge/>
          </w:tcPr>
          <w:p w14:paraId="055877B2" w14:textId="77777777" w:rsidR="00BC66DF" w:rsidRDefault="00BC66DF" w:rsidP="00BC66DF">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2DF49DFD" w14:textId="718213D7" w:rsidR="00BC66DF" w:rsidRPr="00AF7010" w:rsidRDefault="00BC66DF" w:rsidP="00AF7010">
            <w:pPr>
              <w:pStyle w:val="paragraph"/>
              <w:spacing w:before="0" w:beforeAutospacing="0" w:after="0" w:afterAutospacing="0"/>
              <w:textAlignment w:val="baseline"/>
              <w:divId w:val="652027074"/>
              <w:rPr>
                <w:rFonts w:ascii="Segoe UI" w:hAnsi="Segoe UI" w:cs="Segoe UI"/>
                <w:sz w:val="18"/>
                <w:szCs w:val="18"/>
              </w:rPr>
            </w:pPr>
            <w:r>
              <w:rPr>
                <w:rStyle w:val="normaltextrun"/>
                <w:rFonts w:ascii="Calibri" w:hAnsi="Calibri" w:cs="Calibri"/>
                <w:sz w:val="22"/>
                <w:szCs w:val="22"/>
              </w:rPr>
              <w:t>Discuss approach with HPSNZ. Align as necessary. (See # 2 &amp; 3 in HPSNZ Action plan)</w:t>
            </w:r>
            <w:r>
              <w:rPr>
                <w:rStyle w:val="eop"/>
                <w:rFonts w:ascii="Calibri" w:hAnsi="Calibri" w:cs="Calibri"/>
                <w:sz w:val="22"/>
                <w:szCs w:val="22"/>
              </w:rPr>
              <w:t> </w:t>
            </w:r>
          </w:p>
        </w:tc>
      </w:tr>
      <w:tr w:rsidR="00BC66DF" w:rsidRPr="00414BF2" w14:paraId="61D26B1C" w14:textId="77777777" w:rsidTr="00037164">
        <w:trPr>
          <w:trHeight w:val="403"/>
        </w:trPr>
        <w:tc>
          <w:tcPr>
            <w:tcW w:w="4673" w:type="dxa"/>
            <w:vMerge/>
          </w:tcPr>
          <w:p w14:paraId="53BBA7FC" w14:textId="77777777" w:rsidR="00BC66DF" w:rsidRDefault="00BC66DF" w:rsidP="00BC66DF">
            <w:pPr>
              <w:pStyle w:val="paragraph"/>
              <w:spacing w:before="0" w:beforeAutospacing="0" w:after="0" w:afterAutospacing="0"/>
              <w:textAlignment w:val="baseline"/>
              <w:rPr>
                <w:rStyle w:val="normaltextrun"/>
                <w:rFonts w:ascii="Calibri" w:hAnsi="Calibri" w:cs="Calibri"/>
                <w:sz w:val="22"/>
                <w:szCs w:val="22"/>
              </w:rPr>
            </w:pPr>
          </w:p>
        </w:tc>
        <w:tc>
          <w:tcPr>
            <w:tcW w:w="10631" w:type="dxa"/>
          </w:tcPr>
          <w:p w14:paraId="61284B02" w14:textId="42526D96" w:rsidR="00BC66DF" w:rsidRDefault="00BC66DF" w:rsidP="00BC66DF">
            <w:pPr>
              <w:tabs>
                <w:tab w:val="left" w:pos="11064"/>
              </w:tabs>
            </w:pPr>
            <w:r>
              <w:rPr>
                <w:rStyle w:val="normaltextrun"/>
                <w:rFonts w:ascii="Calibri" w:hAnsi="Calibri" w:cs="Calibri"/>
              </w:rPr>
              <w:t xml:space="preserve">A commitment to upskill all athletes to help them navigate the pathway </w:t>
            </w:r>
            <w:proofErr w:type="gramStart"/>
            <w:r>
              <w:rPr>
                <w:rStyle w:val="normaltextrun"/>
                <w:rFonts w:ascii="Calibri" w:hAnsi="Calibri" w:cs="Calibri"/>
              </w:rPr>
              <w:t>e.g.</w:t>
            </w:r>
            <w:proofErr w:type="gramEnd"/>
            <w:r>
              <w:rPr>
                <w:rStyle w:val="normaltextrun"/>
                <w:rFonts w:ascii="Calibri" w:hAnsi="Calibri" w:cs="Calibri"/>
              </w:rPr>
              <w:t xml:space="preserve"> </w:t>
            </w:r>
            <w:proofErr w:type="spellStart"/>
            <w:r>
              <w:rPr>
                <w:rStyle w:val="normaltextrun"/>
                <w:rFonts w:ascii="Calibri" w:hAnsi="Calibri" w:cs="Calibri"/>
              </w:rPr>
              <w:t>self awareness</w:t>
            </w:r>
            <w:proofErr w:type="spellEnd"/>
            <w:r>
              <w:rPr>
                <w:rStyle w:val="normaltextrun"/>
                <w:rFonts w:ascii="Calibri" w:hAnsi="Calibri" w:cs="Calibri"/>
              </w:rPr>
              <w:t>, self-management An overt, proactive development programme is provided</w:t>
            </w:r>
            <w:r>
              <w:rPr>
                <w:rStyle w:val="eop"/>
                <w:rFonts w:ascii="Calibri" w:hAnsi="Calibri" w:cs="Calibri"/>
              </w:rPr>
              <w:t> </w:t>
            </w:r>
          </w:p>
        </w:tc>
      </w:tr>
      <w:tr w:rsidR="00EF0275" w:rsidRPr="00414BF2" w14:paraId="4880CCB6" w14:textId="77777777" w:rsidTr="00A21277">
        <w:trPr>
          <w:trHeight w:val="699"/>
        </w:trPr>
        <w:tc>
          <w:tcPr>
            <w:tcW w:w="4673" w:type="dxa"/>
          </w:tcPr>
          <w:p w14:paraId="464B2F37" w14:textId="77777777" w:rsidR="00EF0275" w:rsidRDefault="00EF0275" w:rsidP="00EF027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FA6.4</w:t>
            </w:r>
            <w:r>
              <w:rPr>
                <w:rStyle w:val="eop"/>
                <w:rFonts w:ascii="Calibri" w:hAnsi="Calibri" w:cs="Calibri"/>
                <w:sz w:val="22"/>
                <w:szCs w:val="22"/>
              </w:rPr>
              <w:t> </w:t>
            </w:r>
          </w:p>
          <w:p w14:paraId="6146286C" w14:textId="3AC40422" w:rsidR="00EF0275" w:rsidRPr="00EF0275" w:rsidRDefault="00EF0275" w:rsidP="00EF0275">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HPSNZ and CNZ reconsider the HPP’s centralisation, and CNZ decrease its reliance on a centralised model (in favour of a regional model with centralisation only on an as- required basis determined in consultation with stakeholders – particularly athletes and HPP staff).</w:t>
            </w:r>
            <w:r>
              <w:rPr>
                <w:rStyle w:val="eop"/>
                <w:rFonts w:ascii="Calibri" w:hAnsi="Calibri" w:cs="Calibri"/>
                <w:sz w:val="22"/>
                <w:szCs w:val="22"/>
              </w:rPr>
              <w:t> </w:t>
            </w:r>
          </w:p>
        </w:tc>
        <w:tc>
          <w:tcPr>
            <w:tcW w:w="10631" w:type="dxa"/>
          </w:tcPr>
          <w:p w14:paraId="5B89975E" w14:textId="27D332FF" w:rsidR="00EF0275" w:rsidRDefault="00BC66DF" w:rsidP="005067BE">
            <w:pPr>
              <w:tabs>
                <w:tab w:val="left" w:pos="11064"/>
              </w:tabs>
            </w:pPr>
            <w:r>
              <w:rPr>
                <w:rStyle w:val="normaltextrun"/>
                <w:rFonts w:ascii="Calibri" w:hAnsi="Calibri" w:cs="Calibri"/>
                <w:color w:val="000000"/>
                <w:shd w:val="clear" w:color="auto" w:fill="FFFFFF"/>
              </w:rPr>
              <w:t>CNZ to reconsider the athlete’s performance pathways and revisit the scope and processes around centralisation of its athletes and programmes. </w:t>
            </w:r>
            <w:r>
              <w:rPr>
                <w:rStyle w:val="eop"/>
                <w:rFonts w:ascii="Calibri" w:hAnsi="Calibri" w:cs="Calibri"/>
                <w:color w:val="000000"/>
                <w:shd w:val="clear" w:color="auto" w:fill="FFFFFF"/>
              </w:rPr>
              <w:t> </w:t>
            </w:r>
          </w:p>
        </w:tc>
      </w:tr>
      <w:tr w:rsidR="00347BF3" w:rsidRPr="00414BF2" w14:paraId="735BB98E" w14:textId="77777777" w:rsidTr="00037164">
        <w:trPr>
          <w:trHeight w:val="981"/>
        </w:trPr>
        <w:tc>
          <w:tcPr>
            <w:tcW w:w="15304" w:type="dxa"/>
            <w:gridSpan w:val="2"/>
            <w:shd w:val="clear" w:color="auto" w:fill="D9D9D9" w:themeFill="background1" w:themeFillShade="D9"/>
          </w:tcPr>
          <w:p w14:paraId="3604DE7D" w14:textId="77777777" w:rsidR="00347BF3" w:rsidRDefault="00347BF3" w:rsidP="00347BF3">
            <w:pPr>
              <w:tabs>
                <w:tab w:val="left" w:pos="11064"/>
              </w:tabs>
              <w:rPr>
                <w:b/>
                <w:bCs/>
                <w:sz w:val="24"/>
                <w:szCs w:val="24"/>
              </w:rPr>
            </w:pPr>
            <w:r>
              <w:rPr>
                <w:b/>
                <w:bCs/>
                <w:sz w:val="24"/>
                <w:szCs w:val="24"/>
              </w:rPr>
              <w:t>FA7: Quality Coaches</w:t>
            </w:r>
          </w:p>
          <w:p w14:paraId="5EFEE31D" w14:textId="0D47A8AC" w:rsidR="00347BF3" w:rsidRPr="00037164" w:rsidRDefault="00347BF3" w:rsidP="005067BE">
            <w:pPr>
              <w:tabs>
                <w:tab w:val="left" w:pos="11064"/>
              </w:tabs>
              <w:rPr>
                <w:b/>
                <w:bCs/>
                <w:sz w:val="24"/>
                <w:szCs w:val="24"/>
              </w:rPr>
            </w:pPr>
            <w:r w:rsidRPr="004F6BBF">
              <w:rPr>
                <w:rFonts w:cs="Calibri"/>
              </w:rPr>
              <w:t>Develop clear and effective coach pathways and ensure coaches recruited into HP fit the culture, have the right credentials for the roles, and are supported by appropriate professional development and training.</w:t>
            </w:r>
          </w:p>
        </w:tc>
      </w:tr>
      <w:tr w:rsidR="00347BF3" w:rsidRPr="00414BF2" w14:paraId="15BB5714" w14:textId="77777777" w:rsidTr="00BC42F2">
        <w:trPr>
          <w:trHeight w:val="484"/>
        </w:trPr>
        <w:tc>
          <w:tcPr>
            <w:tcW w:w="4673" w:type="dxa"/>
            <w:vMerge w:val="restart"/>
          </w:tcPr>
          <w:p w14:paraId="67E111EC" w14:textId="77777777" w:rsidR="00347BF3" w:rsidRPr="00347BF3" w:rsidRDefault="00347BF3" w:rsidP="00347BF3">
            <w:pPr>
              <w:rPr>
                <w:b/>
                <w:bCs/>
              </w:rPr>
            </w:pPr>
            <w:r w:rsidRPr="00347BF3">
              <w:rPr>
                <w:b/>
                <w:bCs/>
              </w:rPr>
              <w:t>FA7.1</w:t>
            </w:r>
          </w:p>
          <w:p w14:paraId="15D3F604" w14:textId="0C2DEABB" w:rsidR="00347BF3" w:rsidRPr="00414BF2" w:rsidRDefault="00347BF3" w:rsidP="00347BF3">
            <w:r>
              <w:t>D</w:t>
            </w:r>
            <w:r w:rsidRPr="00D93E4C">
              <w:t>ismantle the reliance on traditional male networks, particularly within the coaching environment.</w:t>
            </w:r>
          </w:p>
        </w:tc>
        <w:tc>
          <w:tcPr>
            <w:tcW w:w="10631" w:type="dxa"/>
          </w:tcPr>
          <w:p w14:paraId="7F91C18E" w14:textId="7195904E" w:rsidR="00347BF3" w:rsidRDefault="00347BF3" w:rsidP="00347BF3">
            <w:pPr>
              <w:tabs>
                <w:tab w:val="left" w:pos="11064"/>
              </w:tabs>
            </w:pPr>
            <w:r w:rsidRPr="00414BF2">
              <w:t>Commit to gender diversity and inclusion across CNZ, with a focus on HP and coaching. Establish a standing committee of the Board with a remit on People, Remuneration and Wellbeing. Monitor and measure results.</w:t>
            </w:r>
          </w:p>
        </w:tc>
      </w:tr>
      <w:tr w:rsidR="00347BF3" w:rsidRPr="00414BF2" w14:paraId="240EC823" w14:textId="77777777" w:rsidTr="00BC42F2">
        <w:trPr>
          <w:trHeight w:val="639"/>
        </w:trPr>
        <w:tc>
          <w:tcPr>
            <w:tcW w:w="4673" w:type="dxa"/>
            <w:vMerge/>
          </w:tcPr>
          <w:p w14:paraId="5884AE70" w14:textId="77777777" w:rsidR="00347BF3" w:rsidRPr="00414BF2" w:rsidRDefault="00347BF3" w:rsidP="00347BF3">
            <w:pPr>
              <w:tabs>
                <w:tab w:val="left" w:pos="11064"/>
              </w:tabs>
              <w:contextualSpacing/>
            </w:pPr>
          </w:p>
        </w:tc>
        <w:tc>
          <w:tcPr>
            <w:tcW w:w="10631" w:type="dxa"/>
          </w:tcPr>
          <w:p w14:paraId="7524E915" w14:textId="1683FF9D" w:rsidR="00347BF3" w:rsidRDefault="00347BF3" w:rsidP="00347BF3">
            <w:pPr>
              <w:tabs>
                <w:tab w:val="left" w:pos="11064"/>
              </w:tabs>
            </w:pPr>
            <w:r w:rsidRPr="00E65139">
              <w:t xml:space="preserve">Target and maximise opportunities for female coaches, and support personnel. Optimise training and development opportunities for females (via HPSNZ and other) </w:t>
            </w:r>
          </w:p>
        </w:tc>
      </w:tr>
      <w:tr w:rsidR="00347BF3" w:rsidRPr="00414BF2" w14:paraId="660796EE" w14:textId="77777777" w:rsidTr="00BC42F2">
        <w:trPr>
          <w:trHeight w:val="484"/>
        </w:trPr>
        <w:tc>
          <w:tcPr>
            <w:tcW w:w="4673" w:type="dxa"/>
          </w:tcPr>
          <w:p w14:paraId="3970F851" w14:textId="77777777" w:rsidR="00347BF3" w:rsidRPr="00347BF3" w:rsidRDefault="00347BF3" w:rsidP="00347BF3">
            <w:pPr>
              <w:rPr>
                <w:b/>
                <w:bCs/>
              </w:rPr>
            </w:pPr>
            <w:r w:rsidRPr="00347BF3">
              <w:rPr>
                <w:b/>
                <w:bCs/>
              </w:rPr>
              <w:t>FA7.2</w:t>
            </w:r>
          </w:p>
          <w:p w14:paraId="3A07BC5A" w14:textId="74989487" w:rsidR="00347BF3" w:rsidRPr="00414BF2" w:rsidRDefault="00347BF3" w:rsidP="00347BF3">
            <w:r w:rsidRPr="00BE573A">
              <w:t>CNZ implement the other recommendations set out in paragraph 188 in relation to coach recruitment.</w:t>
            </w:r>
          </w:p>
        </w:tc>
        <w:tc>
          <w:tcPr>
            <w:tcW w:w="10631" w:type="dxa"/>
          </w:tcPr>
          <w:p w14:paraId="3055D0F5" w14:textId="77777777" w:rsidR="00347BF3" w:rsidRDefault="00347BF3" w:rsidP="00347BF3">
            <w:pPr>
              <w:tabs>
                <w:tab w:val="left" w:pos="11064"/>
              </w:tabs>
            </w:pPr>
            <w:r>
              <w:t xml:space="preserve">Adherence to recruitment policy and culture. In place and active. </w:t>
            </w:r>
          </w:p>
          <w:p w14:paraId="55D1A083" w14:textId="77777777" w:rsidR="00347BF3" w:rsidRDefault="00347BF3" w:rsidP="00347BF3">
            <w:pPr>
              <w:tabs>
                <w:tab w:val="left" w:pos="11064"/>
              </w:tabs>
            </w:pPr>
          </w:p>
        </w:tc>
      </w:tr>
      <w:tr w:rsidR="00CA16A2" w:rsidRPr="00414BF2" w14:paraId="0357F375" w14:textId="77777777" w:rsidTr="00037164">
        <w:trPr>
          <w:trHeight w:val="972"/>
        </w:trPr>
        <w:tc>
          <w:tcPr>
            <w:tcW w:w="15304" w:type="dxa"/>
            <w:gridSpan w:val="2"/>
            <w:shd w:val="clear" w:color="auto" w:fill="D9D9D9" w:themeFill="background1" w:themeFillShade="D9"/>
          </w:tcPr>
          <w:p w14:paraId="682EA6CE" w14:textId="77777777" w:rsidR="00CA16A2" w:rsidRDefault="00CA16A2" w:rsidP="00CA16A2">
            <w:pPr>
              <w:tabs>
                <w:tab w:val="left" w:pos="11064"/>
              </w:tabs>
              <w:rPr>
                <w:b/>
                <w:sz w:val="24"/>
                <w:szCs w:val="24"/>
              </w:rPr>
            </w:pPr>
            <w:r>
              <w:rPr>
                <w:b/>
                <w:sz w:val="24"/>
                <w:szCs w:val="24"/>
              </w:rPr>
              <w:t xml:space="preserve">FA8: Athlete Support Services </w:t>
            </w:r>
          </w:p>
          <w:p w14:paraId="6320FB5C" w14:textId="02C28F47" w:rsidR="00CA16A2" w:rsidRPr="00C1122B" w:rsidRDefault="00CA16A2" w:rsidP="00347BF3">
            <w:pPr>
              <w:tabs>
                <w:tab w:val="left" w:pos="11064"/>
              </w:tabs>
              <w:rPr>
                <w:b/>
                <w:sz w:val="24"/>
                <w:szCs w:val="24"/>
              </w:rPr>
            </w:pPr>
            <w:r w:rsidRPr="004F6BBF">
              <w:rPr>
                <w:rFonts w:cs="Calibri"/>
              </w:rPr>
              <w:t>Ensure athlete support services are developed and implemented in consultation with athletes, based on effective IPPs, are gender appropriate, based on best practice, and are holistic in their focus.</w:t>
            </w:r>
          </w:p>
        </w:tc>
      </w:tr>
      <w:tr w:rsidR="00BE6BB3" w:rsidRPr="00414BF2" w14:paraId="29929896" w14:textId="77777777" w:rsidTr="00BC42F2">
        <w:trPr>
          <w:trHeight w:val="484"/>
        </w:trPr>
        <w:tc>
          <w:tcPr>
            <w:tcW w:w="4673" w:type="dxa"/>
            <w:vMerge w:val="restart"/>
          </w:tcPr>
          <w:p w14:paraId="426E664F" w14:textId="77777777" w:rsidR="00BE6BB3" w:rsidRPr="00BE6BB3" w:rsidRDefault="00BE6BB3" w:rsidP="00CA16A2">
            <w:pPr>
              <w:rPr>
                <w:b/>
                <w:bCs/>
              </w:rPr>
            </w:pPr>
            <w:r w:rsidRPr="00BE6BB3">
              <w:rPr>
                <w:b/>
                <w:bCs/>
              </w:rPr>
              <w:t>FA8.1</w:t>
            </w:r>
          </w:p>
          <w:p w14:paraId="297078BC" w14:textId="410059F1" w:rsidR="00BE6BB3" w:rsidRPr="00414BF2" w:rsidRDefault="00BE6BB3" w:rsidP="00BE6BB3">
            <w:r w:rsidRPr="00655609">
              <w:t>HPSNZ and CNZ work collaboratively and in consultation with athletes and staff/contractors to determine the best model for service provision within the HPP. Greater attention needs to be paid to ensuring effective continuity of care and to ensuring that CNZ can autonomously determine the support required.</w:t>
            </w:r>
          </w:p>
        </w:tc>
        <w:tc>
          <w:tcPr>
            <w:tcW w:w="10631" w:type="dxa"/>
          </w:tcPr>
          <w:p w14:paraId="5AD49CDC" w14:textId="3B488F69" w:rsidR="00BE6BB3" w:rsidRDefault="00BE6BB3" w:rsidP="00CA16A2">
            <w:pPr>
              <w:tabs>
                <w:tab w:val="left" w:pos="11064"/>
              </w:tabs>
            </w:pPr>
            <w:r>
              <w:t xml:space="preserve">CNZ HP personnel review and refine the best model for service provision and document. </w:t>
            </w:r>
          </w:p>
        </w:tc>
      </w:tr>
      <w:tr w:rsidR="00BE6BB3" w:rsidRPr="00414BF2" w14:paraId="26BE6306" w14:textId="77777777" w:rsidTr="00BC42F2">
        <w:trPr>
          <w:trHeight w:val="484"/>
        </w:trPr>
        <w:tc>
          <w:tcPr>
            <w:tcW w:w="4673" w:type="dxa"/>
            <w:vMerge/>
          </w:tcPr>
          <w:p w14:paraId="02A468EB" w14:textId="77777777" w:rsidR="00BE6BB3" w:rsidRPr="00414BF2" w:rsidRDefault="00BE6BB3" w:rsidP="00CA16A2">
            <w:pPr>
              <w:tabs>
                <w:tab w:val="left" w:pos="11064"/>
              </w:tabs>
              <w:contextualSpacing/>
            </w:pPr>
          </w:p>
        </w:tc>
        <w:tc>
          <w:tcPr>
            <w:tcW w:w="10631" w:type="dxa"/>
          </w:tcPr>
          <w:p w14:paraId="7859C3ED" w14:textId="1D1AD6B1" w:rsidR="00BE6BB3" w:rsidRDefault="00BE6BB3" w:rsidP="00CA16A2">
            <w:pPr>
              <w:tabs>
                <w:tab w:val="left" w:pos="11064"/>
              </w:tabs>
            </w:pPr>
            <w:r>
              <w:t xml:space="preserve">Discuss with athletes and coaches – evaluate 2022 approach </w:t>
            </w:r>
          </w:p>
        </w:tc>
      </w:tr>
      <w:tr w:rsidR="00BE6BB3" w:rsidRPr="00414BF2" w14:paraId="3CA1104E" w14:textId="77777777" w:rsidTr="00BC42F2">
        <w:trPr>
          <w:trHeight w:val="484"/>
        </w:trPr>
        <w:tc>
          <w:tcPr>
            <w:tcW w:w="4673" w:type="dxa"/>
            <w:vMerge/>
          </w:tcPr>
          <w:p w14:paraId="2C1BD751" w14:textId="77777777" w:rsidR="00BE6BB3" w:rsidRPr="00414BF2" w:rsidRDefault="00BE6BB3" w:rsidP="00CA16A2">
            <w:pPr>
              <w:tabs>
                <w:tab w:val="left" w:pos="11064"/>
              </w:tabs>
              <w:contextualSpacing/>
            </w:pPr>
          </w:p>
        </w:tc>
        <w:tc>
          <w:tcPr>
            <w:tcW w:w="10631" w:type="dxa"/>
          </w:tcPr>
          <w:p w14:paraId="431FF905" w14:textId="1984419E" w:rsidR="00BE6BB3" w:rsidRDefault="00BE6BB3" w:rsidP="00CA16A2">
            <w:pPr>
              <w:tabs>
                <w:tab w:val="left" w:pos="11064"/>
              </w:tabs>
            </w:pPr>
            <w:r>
              <w:t xml:space="preserve">Check and agree approach with HPSNZ </w:t>
            </w:r>
          </w:p>
        </w:tc>
      </w:tr>
      <w:tr w:rsidR="00BE6BB3" w:rsidRPr="00414BF2" w14:paraId="1C33A67B" w14:textId="77777777" w:rsidTr="00C27C0E">
        <w:trPr>
          <w:trHeight w:val="484"/>
        </w:trPr>
        <w:tc>
          <w:tcPr>
            <w:tcW w:w="4673" w:type="dxa"/>
            <w:vMerge/>
            <w:tcBorders>
              <w:bottom w:val="single" w:sz="4" w:space="0" w:color="auto"/>
            </w:tcBorders>
          </w:tcPr>
          <w:p w14:paraId="15CCA958" w14:textId="77777777" w:rsidR="00BE6BB3" w:rsidRPr="00414BF2" w:rsidRDefault="00BE6BB3" w:rsidP="00CA16A2">
            <w:pPr>
              <w:tabs>
                <w:tab w:val="left" w:pos="11064"/>
              </w:tabs>
              <w:contextualSpacing/>
            </w:pPr>
          </w:p>
        </w:tc>
        <w:tc>
          <w:tcPr>
            <w:tcW w:w="10631" w:type="dxa"/>
            <w:tcBorders>
              <w:bottom w:val="single" w:sz="4" w:space="0" w:color="auto"/>
            </w:tcBorders>
          </w:tcPr>
          <w:p w14:paraId="67895FF8" w14:textId="2FE4FE4B" w:rsidR="00BE6BB3" w:rsidRDefault="00BE6BB3" w:rsidP="00CA16A2">
            <w:pPr>
              <w:tabs>
                <w:tab w:val="left" w:pos="11064"/>
              </w:tabs>
            </w:pPr>
            <w:r>
              <w:t>Seek external input and guidance from specialists outside HPSNZ and CNZ as required for advice, mentoring or peer review to support world class athlete service provision.</w:t>
            </w:r>
          </w:p>
        </w:tc>
      </w:tr>
      <w:tr w:rsidR="001E2F3C" w:rsidRPr="00414BF2" w14:paraId="45C56BE1" w14:textId="77777777" w:rsidTr="00C27C0E">
        <w:trPr>
          <w:trHeight w:val="484"/>
        </w:trPr>
        <w:tc>
          <w:tcPr>
            <w:tcW w:w="4673" w:type="dxa"/>
            <w:tcBorders>
              <w:top w:val="single" w:sz="4" w:space="0" w:color="auto"/>
            </w:tcBorders>
          </w:tcPr>
          <w:p w14:paraId="2ACD95B6" w14:textId="77777777" w:rsidR="001E2F3C" w:rsidRPr="001E2F3C" w:rsidRDefault="001E2F3C" w:rsidP="001E2F3C">
            <w:pPr>
              <w:rPr>
                <w:b/>
                <w:bCs/>
              </w:rPr>
            </w:pPr>
            <w:r w:rsidRPr="001E2F3C">
              <w:rPr>
                <w:b/>
                <w:bCs/>
              </w:rPr>
              <w:t>FA8.2</w:t>
            </w:r>
          </w:p>
          <w:p w14:paraId="7C167BA1" w14:textId="2BF52E87" w:rsidR="001E2F3C" w:rsidRPr="00414BF2" w:rsidRDefault="001E2F3C" w:rsidP="001E2F3C">
            <w:pPr>
              <w:tabs>
                <w:tab w:val="left" w:pos="11064"/>
              </w:tabs>
              <w:contextualSpacing/>
            </w:pPr>
            <w:r w:rsidRPr="00871EA4">
              <w:t xml:space="preserve">CNZ and HPSNZ consider moving to a model of external provision of clinical psychological </w:t>
            </w:r>
            <w:r w:rsidRPr="00871EA4">
              <w:lastRenderedPageBreak/>
              <w:t>services (subject to HPSNZ’s internal review on this in 2022).</w:t>
            </w:r>
          </w:p>
        </w:tc>
        <w:tc>
          <w:tcPr>
            <w:tcW w:w="10631" w:type="dxa"/>
            <w:tcBorders>
              <w:top w:val="single" w:sz="4" w:space="0" w:color="auto"/>
            </w:tcBorders>
          </w:tcPr>
          <w:p w14:paraId="0591CF2C" w14:textId="7806A87D" w:rsidR="001E2F3C" w:rsidRDefault="001E2F3C" w:rsidP="001E2F3C">
            <w:pPr>
              <w:tabs>
                <w:tab w:val="left" w:pos="11064"/>
              </w:tabs>
            </w:pPr>
            <w:r w:rsidRPr="006D075C">
              <w:lastRenderedPageBreak/>
              <w:t xml:space="preserve">Already </w:t>
            </w:r>
            <w:r>
              <w:t>in place and active.</w:t>
            </w:r>
          </w:p>
        </w:tc>
      </w:tr>
      <w:tr w:rsidR="001E2F3C" w:rsidRPr="00414BF2" w14:paraId="4533DF73" w14:textId="77777777" w:rsidTr="00BC42F2">
        <w:trPr>
          <w:trHeight w:val="484"/>
        </w:trPr>
        <w:tc>
          <w:tcPr>
            <w:tcW w:w="4673" w:type="dxa"/>
            <w:vMerge w:val="restart"/>
          </w:tcPr>
          <w:p w14:paraId="553E6D0D" w14:textId="77777777" w:rsidR="001E2F3C" w:rsidRPr="001E2F3C" w:rsidRDefault="001E2F3C" w:rsidP="001E2F3C">
            <w:pPr>
              <w:rPr>
                <w:b/>
                <w:bCs/>
              </w:rPr>
            </w:pPr>
            <w:r w:rsidRPr="001E2F3C">
              <w:rPr>
                <w:b/>
                <w:bCs/>
              </w:rPr>
              <w:t>FA8.3</w:t>
            </w:r>
          </w:p>
          <w:p w14:paraId="0F29319F" w14:textId="56EA785E" w:rsidR="001E2F3C" w:rsidRPr="00414BF2" w:rsidRDefault="001E2F3C" w:rsidP="001E2F3C">
            <w:pPr>
              <w:tabs>
                <w:tab w:val="left" w:pos="11064"/>
              </w:tabs>
              <w:contextualSpacing/>
            </w:pPr>
            <w:r w:rsidRPr="000D682E">
              <w:t>CNZ, having consulted with athletes, ensure that the arrangements for providing health care are conducive to effective, collaborative management that respects athlete autonomy and information privacy, while avoiding putting an inappropriate onus on the athlete to inform and involve all the relevant stakeholders.</w:t>
            </w:r>
          </w:p>
        </w:tc>
        <w:tc>
          <w:tcPr>
            <w:tcW w:w="10631" w:type="dxa"/>
          </w:tcPr>
          <w:p w14:paraId="3A616386" w14:textId="379C0D2F" w:rsidR="001E2F3C" w:rsidRDefault="001E2F3C" w:rsidP="001E2F3C">
            <w:pPr>
              <w:tabs>
                <w:tab w:val="left" w:pos="11064"/>
              </w:tabs>
            </w:pPr>
            <w:r>
              <w:t>Assess athlete and HP personnel feedback in 2022.</w:t>
            </w:r>
          </w:p>
        </w:tc>
      </w:tr>
      <w:tr w:rsidR="001E2F3C" w:rsidRPr="00414BF2" w14:paraId="20D5C2E7" w14:textId="77777777" w:rsidTr="00BC42F2">
        <w:trPr>
          <w:trHeight w:val="484"/>
        </w:trPr>
        <w:tc>
          <w:tcPr>
            <w:tcW w:w="4673" w:type="dxa"/>
            <w:vMerge/>
          </w:tcPr>
          <w:p w14:paraId="59EC8BAB" w14:textId="77777777" w:rsidR="001E2F3C" w:rsidRDefault="001E2F3C" w:rsidP="001E2F3C"/>
        </w:tc>
        <w:tc>
          <w:tcPr>
            <w:tcW w:w="10631" w:type="dxa"/>
          </w:tcPr>
          <w:p w14:paraId="62B6FB5B" w14:textId="78B294C5" w:rsidR="001E2F3C" w:rsidRDefault="001E2F3C" w:rsidP="001E2F3C">
            <w:pPr>
              <w:tabs>
                <w:tab w:val="left" w:pos="11064"/>
              </w:tabs>
            </w:pPr>
            <w:r>
              <w:t xml:space="preserve">Document in athlete booklet and operational guidelines for CNZ HP personnel, if not already.  </w:t>
            </w:r>
          </w:p>
        </w:tc>
      </w:tr>
      <w:tr w:rsidR="001E2F3C" w:rsidRPr="00414BF2" w14:paraId="3C5F3D36" w14:textId="77777777" w:rsidTr="003C15C8">
        <w:trPr>
          <w:trHeight w:val="1286"/>
        </w:trPr>
        <w:tc>
          <w:tcPr>
            <w:tcW w:w="4673" w:type="dxa"/>
            <w:vMerge/>
          </w:tcPr>
          <w:p w14:paraId="53BB7557" w14:textId="77777777" w:rsidR="001E2F3C" w:rsidRDefault="001E2F3C" w:rsidP="001E2F3C"/>
        </w:tc>
        <w:tc>
          <w:tcPr>
            <w:tcW w:w="10631" w:type="dxa"/>
          </w:tcPr>
          <w:p w14:paraId="76023B74" w14:textId="77777777" w:rsidR="001E2F3C" w:rsidRDefault="001E2F3C" w:rsidP="001E2F3C">
            <w:pPr>
              <w:tabs>
                <w:tab w:val="left" w:pos="11064"/>
              </w:tabs>
            </w:pPr>
            <w:r>
              <w:t xml:space="preserve">Implement to HPSNZ and best practise guidance and standards. </w:t>
            </w:r>
          </w:p>
          <w:p w14:paraId="4EAFD4F0" w14:textId="77777777" w:rsidR="001E2F3C" w:rsidRDefault="001E2F3C" w:rsidP="001E2F3C">
            <w:pPr>
              <w:pStyle w:val="ListParagraph"/>
              <w:tabs>
                <w:tab w:val="left" w:pos="11064"/>
              </w:tabs>
            </w:pPr>
          </w:p>
          <w:p w14:paraId="599175C0" w14:textId="4A88E882" w:rsidR="001E2F3C" w:rsidRDefault="001E2F3C" w:rsidP="001E2F3C">
            <w:pPr>
              <w:tabs>
                <w:tab w:val="left" w:pos="11064"/>
              </w:tabs>
            </w:pPr>
            <w:r>
              <w:t>Ongoing review and evaluation of policy and practise.</w:t>
            </w:r>
          </w:p>
        </w:tc>
      </w:tr>
      <w:tr w:rsidR="001E2F3C" w:rsidRPr="00414BF2" w14:paraId="2395DB0F" w14:textId="77777777" w:rsidTr="003C15C8">
        <w:trPr>
          <w:trHeight w:val="1531"/>
        </w:trPr>
        <w:tc>
          <w:tcPr>
            <w:tcW w:w="4673" w:type="dxa"/>
          </w:tcPr>
          <w:p w14:paraId="174D704F" w14:textId="77777777" w:rsidR="001E2F3C" w:rsidRPr="001E2F3C" w:rsidRDefault="001E2F3C" w:rsidP="001E2F3C">
            <w:pPr>
              <w:rPr>
                <w:b/>
                <w:bCs/>
              </w:rPr>
            </w:pPr>
            <w:r w:rsidRPr="001E2F3C">
              <w:rPr>
                <w:b/>
                <w:bCs/>
              </w:rPr>
              <w:t>FA8.4</w:t>
            </w:r>
          </w:p>
          <w:p w14:paraId="31D38402" w14:textId="10DA4D23" w:rsidR="001E2F3C" w:rsidRDefault="001E2F3C" w:rsidP="001E2F3C">
            <w:r w:rsidRPr="00355573">
              <w:t>HPSNZ and CNZ continue their respective efforts in relation to concussion management and take further steps to ensure that all stakeholders are educated about this issue.</w:t>
            </w:r>
          </w:p>
        </w:tc>
        <w:tc>
          <w:tcPr>
            <w:tcW w:w="10631" w:type="dxa"/>
          </w:tcPr>
          <w:p w14:paraId="21CDE14D" w14:textId="77777777" w:rsidR="001E2F3C" w:rsidRDefault="001E2F3C" w:rsidP="001E2F3C">
            <w:pPr>
              <w:tabs>
                <w:tab w:val="left" w:pos="11064"/>
              </w:tabs>
            </w:pPr>
            <w:r>
              <w:t xml:space="preserve">Benchmark concussion protocols &amp; management against global best practise report on status </w:t>
            </w:r>
          </w:p>
          <w:p w14:paraId="7249198A" w14:textId="77777777" w:rsidR="001E2F3C" w:rsidRDefault="001E2F3C" w:rsidP="001E2F3C">
            <w:pPr>
              <w:tabs>
                <w:tab w:val="left" w:pos="11064"/>
              </w:tabs>
            </w:pPr>
          </w:p>
          <w:p w14:paraId="1A7C09EF" w14:textId="7965C9C7" w:rsidR="001E2F3C" w:rsidRDefault="001E2F3C" w:rsidP="001E2F3C">
            <w:pPr>
              <w:tabs>
                <w:tab w:val="left" w:pos="11064"/>
              </w:tabs>
            </w:pPr>
            <w:r>
              <w:t>Concussion Policy developed and available for CNZ Concussion management. Ensure regular reviews and education/awareness.</w:t>
            </w:r>
          </w:p>
        </w:tc>
      </w:tr>
      <w:tr w:rsidR="001E2F3C" w:rsidRPr="00414BF2" w14:paraId="34DDCE1E" w14:textId="77777777" w:rsidTr="0073412D">
        <w:trPr>
          <w:trHeight w:val="1710"/>
        </w:trPr>
        <w:tc>
          <w:tcPr>
            <w:tcW w:w="4673" w:type="dxa"/>
          </w:tcPr>
          <w:p w14:paraId="50FAC0DE" w14:textId="77777777" w:rsidR="001E2F3C" w:rsidRPr="001E2F3C" w:rsidRDefault="001E2F3C" w:rsidP="001E2F3C">
            <w:pPr>
              <w:rPr>
                <w:b/>
                <w:bCs/>
              </w:rPr>
            </w:pPr>
            <w:r w:rsidRPr="001E2F3C">
              <w:rPr>
                <w:b/>
                <w:bCs/>
              </w:rPr>
              <w:t>FA8.5</w:t>
            </w:r>
          </w:p>
          <w:p w14:paraId="217B9229" w14:textId="3181BCC6" w:rsidR="001E2F3C" w:rsidRDefault="001E2F3C" w:rsidP="001E2F3C">
            <w:r>
              <w:t>HPSNZ and CNZ should work together, with appropriate medical expertise, to ensure adequate education of International Concussion Guidelines, as discussed in paragraph 226 of the Inquiry.</w:t>
            </w:r>
          </w:p>
        </w:tc>
        <w:tc>
          <w:tcPr>
            <w:tcW w:w="10631" w:type="dxa"/>
          </w:tcPr>
          <w:p w14:paraId="4793777B" w14:textId="77777777" w:rsidR="001E2F3C" w:rsidRDefault="001E2F3C" w:rsidP="001E2F3C">
            <w:pPr>
              <w:tabs>
                <w:tab w:val="left" w:pos="11064"/>
              </w:tabs>
            </w:pPr>
            <w:r w:rsidRPr="00790365">
              <w:t>Agree</w:t>
            </w:r>
            <w:r>
              <w:t>, confirm &amp; report protocols.</w:t>
            </w:r>
          </w:p>
          <w:p w14:paraId="7F5B75BB" w14:textId="77777777" w:rsidR="001E2F3C" w:rsidRDefault="001E2F3C" w:rsidP="001E2F3C">
            <w:pPr>
              <w:tabs>
                <w:tab w:val="left" w:pos="11064"/>
              </w:tabs>
            </w:pPr>
          </w:p>
          <w:p w14:paraId="1CA30404" w14:textId="72C09525" w:rsidR="001E2F3C" w:rsidRDefault="001E2F3C" w:rsidP="001E2F3C">
            <w:pPr>
              <w:tabs>
                <w:tab w:val="left" w:pos="11064"/>
              </w:tabs>
            </w:pPr>
            <w:r>
              <w:t>Confirm and action implementation strategy</w:t>
            </w:r>
          </w:p>
        </w:tc>
      </w:tr>
      <w:tr w:rsidR="004F43F6" w:rsidRPr="00414BF2" w14:paraId="24741F0B" w14:textId="77777777" w:rsidTr="00C27C0E">
        <w:trPr>
          <w:trHeight w:val="454"/>
        </w:trPr>
        <w:tc>
          <w:tcPr>
            <w:tcW w:w="4673" w:type="dxa"/>
            <w:vMerge w:val="restart"/>
          </w:tcPr>
          <w:p w14:paraId="4121EF26" w14:textId="77777777" w:rsidR="004F43F6" w:rsidRPr="004F43F6" w:rsidRDefault="004F43F6" w:rsidP="004F43F6">
            <w:pPr>
              <w:rPr>
                <w:b/>
                <w:bCs/>
              </w:rPr>
            </w:pPr>
            <w:r w:rsidRPr="004F43F6">
              <w:rPr>
                <w:b/>
                <w:bCs/>
              </w:rPr>
              <w:t>FA8.6</w:t>
            </w:r>
          </w:p>
          <w:p w14:paraId="50B52252" w14:textId="5FE4DCAA" w:rsidR="004F43F6" w:rsidRDefault="004F43F6" w:rsidP="004F43F6">
            <w:r w:rsidRPr="00DC1214">
              <w:t>CNZ and HPSNZ work together to ensure equitable access to women’s healthcare in the HPP, including by mandating effective coach education and taking the steps set out in paragraph 230.</w:t>
            </w:r>
          </w:p>
        </w:tc>
        <w:tc>
          <w:tcPr>
            <w:tcW w:w="10631" w:type="dxa"/>
          </w:tcPr>
          <w:p w14:paraId="4FF27B61" w14:textId="54C016FB" w:rsidR="004F43F6" w:rsidRPr="00790365" w:rsidRDefault="004F43F6" w:rsidP="004F43F6">
            <w:pPr>
              <w:tabs>
                <w:tab w:val="left" w:pos="11064"/>
              </w:tabs>
            </w:pPr>
            <w:r w:rsidRPr="00567C8A">
              <w:t>Bench</w:t>
            </w:r>
            <w:r>
              <w:t xml:space="preserve">mark </w:t>
            </w:r>
            <w:r w:rsidRPr="00567C8A">
              <w:t>women’s health support</w:t>
            </w:r>
            <w:r>
              <w:t xml:space="preserve"> and provision within the CNZ HPP.</w:t>
            </w:r>
          </w:p>
        </w:tc>
      </w:tr>
      <w:tr w:rsidR="004F43F6" w:rsidRPr="00414BF2" w14:paraId="1E3CC09D" w14:textId="77777777" w:rsidTr="00C27C0E">
        <w:trPr>
          <w:trHeight w:val="454"/>
        </w:trPr>
        <w:tc>
          <w:tcPr>
            <w:tcW w:w="4673" w:type="dxa"/>
            <w:vMerge/>
          </w:tcPr>
          <w:p w14:paraId="51247996" w14:textId="77777777" w:rsidR="004F43F6" w:rsidRDefault="004F43F6" w:rsidP="004F43F6"/>
        </w:tc>
        <w:tc>
          <w:tcPr>
            <w:tcW w:w="10631" w:type="dxa"/>
          </w:tcPr>
          <w:p w14:paraId="7F5941C3" w14:textId="683E7698" w:rsidR="004F43F6" w:rsidRPr="00790365" w:rsidRDefault="004F43F6" w:rsidP="004F43F6">
            <w:pPr>
              <w:tabs>
                <w:tab w:val="left" w:pos="11064"/>
              </w:tabs>
            </w:pPr>
            <w:r>
              <w:t>Identify gaps, develop an action plan for implementation.</w:t>
            </w:r>
          </w:p>
        </w:tc>
      </w:tr>
      <w:tr w:rsidR="004F43F6" w:rsidRPr="00414BF2" w14:paraId="73BA4950" w14:textId="77777777" w:rsidTr="003C15C8">
        <w:trPr>
          <w:trHeight w:val="750"/>
        </w:trPr>
        <w:tc>
          <w:tcPr>
            <w:tcW w:w="4673" w:type="dxa"/>
            <w:vMerge/>
          </w:tcPr>
          <w:p w14:paraId="22ABD1B7" w14:textId="77777777" w:rsidR="004F43F6" w:rsidRDefault="004F43F6" w:rsidP="004F43F6"/>
        </w:tc>
        <w:tc>
          <w:tcPr>
            <w:tcW w:w="10631" w:type="dxa"/>
          </w:tcPr>
          <w:p w14:paraId="34992F59" w14:textId="3F589623" w:rsidR="004F43F6" w:rsidRPr="00790365" w:rsidRDefault="004F43F6" w:rsidP="004F43F6">
            <w:pPr>
              <w:tabs>
                <w:tab w:val="left" w:pos="11064"/>
              </w:tabs>
            </w:pPr>
            <w:r>
              <w:t>Leverage access to knowledge, resources, PD, and personnel via HPSNZ targeted programmes to advance Women in Coaching, Healthcare, HP Leadership.</w:t>
            </w:r>
          </w:p>
        </w:tc>
      </w:tr>
      <w:tr w:rsidR="004F43F6" w:rsidRPr="00414BF2" w14:paraId="4EC9FA12" w14:textId="77777777" w:rsidTr="00C27C0E">
        <w:trPr>
          <w:trHeight w:val="454"/>
        </w:trPr>
        <w:tc>
          <w:tcPr>
            <w:tcW w:w="4673" w:type="dxa"/>
            <w:vMerge/>
          </w:tcPr>
          <w:p w14:paraId="19009C17" w14:textId="77777777" w:rsidR="004F43F6" w:rsidRDefault="004F43F6" w:rsidP="004F43F6"/>
        </w:tc>
        <w:tc>
          <w:tcPr>
            <w:tcW w:w="10631" w:type="dxa"/>
          </w:tcPr>
          <w:p w14:paraId="4770D5E1" w14:textId="5C71C4CE" w:rsidR="004F43F6" w:rsidRPr="00790365" w:rsidRDefault="004F43F6" w:rsidP="004F43F6">
            <w:pPr>
              <w:tabs>
                <w:tab w:val="left" w:pos="11064"/>
              </w:tabs>
            </w:pPr>
            <w:r>
              <w:t xml:space="preserve">Ensure effective coach education within CNZ – focussing on education on issues impacting female performance. </w:t>
            </w:r>
          </w:p>
        </w:tc>
      </w:tr>
      <w:tr w:rsidR="004F43F6" w:rsidRPr="00414BF2" w14:paraId="59005AAA" w14:textId="77777777" w:rsidTr="00C27C0E">
        <w:trPr>
          <w:trHeight w:val="454"/>
        </w:trPr>
        <w:tc>
          <w:tcPr>
            <w:tcW w:w="4673" w:type="dxa"/>
            <w:vMerge/>
            <w:tcBorders>
              <w:bottom w:val="single" w:sz="4" w:space="0" w:color="auto"/>
            </w:tcBorders>
          </w:tcPr>
          <w:p w14:paraId="4F6DECC4" w14:textId="77777777" w:rsidR="004F43F6" w:rsidRDefault="004F43F6" w:rsidP="004F43F6"/>
        </w:tc>
        <w:tc>
          <w:tcPr>
            <w:tcW w:w="10631" w:type="dxa"/>
            <w:tcBorders>
              <w:bottom w:val="single" w:sz="4" w:space="0" w:color="auto"/>
            </w:tcBorders>
          </w:tcPr>
          <w:p w14:paraId="4721066D" w14:textId="3AB41216" w:rsidR="004F43F6" w:rsidRPr="00790365" w:rsidRDefault="004F43F6" w:rsidP="004F43F6">
            <w:pPr>
              <w:tabs>
                <w:tab w:val="left" w:pos="11064"/>
              </w:tabs>
            </w:pPr>
            <w:r>
              <w:t>Evaluate health provision for female athletes as per above.</w:t>
            </w:r>
          </w:p>
        </w:tc>
      </w:tr>
      <w:tr w:rsidR="004F43F6" w:rsidRPr="00414BF2" w14:paraId="02ABEA07" w14:textId="77777777" w:rsidTr="00C27C0E">
        <w:trPr>
          <w:trHeight w:val="983"/>
        </w:trPr>
        <w:tc>
          <w:tcPr>
            <w:tcW w:w="15304" w:type="dxa"/>
            <w:gridSpan w:val="2"/>
            <w:tcBorders>
              <w:top w:val="single" w:sz="4" w:space="0" w:color="auto"/>
            </w:tcBorders>
            <w:shd w:val="clear" w:color="auto" w:fill="D9D9D9" w:themeFill="background1" w:themeFillShade="D9"/>
          </w:tcPr>
          <w:p w14:paraId="408E0949" w14:textId="77777777" w:rsidR="00AB297F" w:rsidRDefault="00AB297F" w:rsidP="00AB297F">
            <w:pPr>
              <w:tabs>
                <w:tab w:val="left" w:pos="11064"/>
              </w:tabs>
              <w:rPr>
                <w:b/>
                <w:bCs/>
                <w:sz w:val="24"/>
                <w:szCs w:val="24"/>
              </w:rPr>
            </w:pPr>
            <w:r>
              <w:rPr>
                <w:b/>
                <w:bCs/>
                <w:sz w:val="24"/>
                <w:szCs w:val="24"/>
              </w:rPr>
              <w:lastRenderedPageBreak/>
              <w:t>FA9: Governance &amp; Leadership</w:t>
            </w:r>
          </w:p>
          <w:p w14:paraId="5FF9868E" w14:textId="418543E8" w:rsidR="004F43F6" w:rsidRPr="00AB297F" w:rsidRDefault="00AB297F" w:rsidP="00F32D11">
            <w:pPr>
              <w:tabs>
                <w:tab w:val="left" w:pos="11064"/>
              </w:tabs>
              <w:rPr>
                <w:b/>
                <w:bCs/>
                <w:sz w:val="24"/>
                <w:szCs w:val="24"/>
              </w:rPr>
            </w:pPr>
            <w:r w:rsidRPr="004F6BBF">
              <w:rPr>
                <w:rFonts w:cs="Calibri"/>
              </w:rPr>
              <w:t>Reflect on the alignment between the current governance structure and the overwhelming focus on high performance, assessing whether</w:t>
            </w:r>
            <w:r>
              <w:rPr>
                <w:rFonts w:cs="Calibri"/>
              </w:rPr>
              <w:t xml:space="preserve"> the current model</w:t>
            </w:r>
            <w:r w:rsidRPr="004F6BBF">
              <w:rPr>
                <w:rFonts w:cs="Calibri"/>
              </w:rPr>
              <w:t xml:space="preserve"> </w:t>
            </w:r>
            <w:r>
              <w:rPr>
                <w:rFonts w:cs="Calibri"/>
              </w:rPr>
              <w:t>is</w:t>
            </w:r>
            <w:r w:rsidRPr="004F6BBF">
              <w:rPr>
                <w:rFonts w:cs="Calibri"/>
              </w:rPr>
              <w:t xml:space="preserve"> fit for purpose. </w:t>
            </w:r>
          </w:p>
        </w:tc>
      </w:tr>
      <w:tr w:rsidR="00AB297F" w:rsidRPr="00414BF2" w14:paraId="67E857F0" w14:textId="77777777" w:rsidTr="00C27C0E">
        <w:trPr>
          <w:trHeight w:val="567"/>
        </w:trPr>
        <w:tc>
          <w:tcPr>
            <w:tcW w:w="4673" w:type="dxa"/>
            <w:vMerge w:val="restart"/>
          </w:tcPr>
          <w:p w14:paraId="16706F8D" w14:textId="77777777" w:rsidR="00AB297F" w:rsidRPr="00AB297F" w:rsidRDefault="00AB297F" w:rsidP="00AB297F">
            <w:pPr>
              <w:rPr>
                <w:b/>
                <w:bCs/>
              </w:rPr>
            </w:pPr>
            <w:r w:rsidRPr="00AB297F">
              <w:rPr>
                <w:b/>
                <w:bCs/>
              </w:rPr>
              <w:t>FA9.1</w:t>
            </w:r>
          </w:p>
          <w:p w14:paraId="7274406C" w14:textId="77777777" w:rsidR="00AB297F" w:rsidRDefault="00AB297F" w:rsidP="00AB297F">
            <w:r w:rsidRPr="00025C8E">
              <w:t>CNZ’s governors and leadership change current practices and policies, as set out above, to put wellbeing first.</w:t>
            </w:r>
          </w:p>
          <w:p w14:paraId="5DD705F1" w14:textId="77777777" w:rsidR="00AB297F" w:rsidRDefault="00AB297F" w:rsidP="00AB297F"/>
        </w:tc>
        <w:tc>
          <w:tcPr>
            <w:tcW w:w="10631" w:type="dxa"/>
          </w:tcPr>
          <w:p w14:paraId="1D0BC745" w14:textId="63647D4E" w:rsidR="00AB297F" w:rsidRPr="00790365" w:rsidRDefault="00AB297F" w:rsidP="00AB297F">
            <w:pPr>
              <w:tabs>
                <w:tab w:val="left" w:pos="11064"/>
              </w:tabs>
            </w:pPr>
            <w:r w:rsidRPr="00654473">
              <w:t xml:space="preserve">CNZ to </w:t>
            </w:r>
            <w:r>
              <w:t xml:space="preserve">implement a range of actions and initiatives across the organisation, as already documented in this plan, to shift the mindset and focus including statement of commitment, revamped policies, </w:t>
            </w:r>
            <w:proofErr w:type="gramStart"/>
            <w:r>
              <w:t>documents</w:t>
            </w:r>
            <w:proofErr w:type="gramEnd"/>
            <w:r>
              <w:t xml:space="preserve"> and plans re. culture, people, integrity, and wellbeing.</w:t>
            </w:r>
          </w:p>
        </w:tc>
      </w:tr>
      <w:tr w:rsidR="00AB297F" w:rsidRPr="00414BF2" w14:paraId="2A8797B2" w14:textId="77777777" w:rsidTr="00C27C0E">
        <w:trPr>
          <w:trHeight w:val="567"/>
        </w:trPr>
        <w:tc>
          <w:tcPr>
            <w:tcW w:w="4673" w:type="dxa"/>
            <w:vMerge/>
          </w:tcPr>
          <w:p w14:paraId="4FA685CE" w14:textId="77777777" w:rsidR="00AB297F" w:rsidRDefault="00AB297F" w:rsidP="00AB297F"/>
        </w:tc>
        <w:tc>
          <w:tcPr>
            <w:tcW w:w="10631" w:type="dxa"/>
          </w:tcPr>
          <w:p w14:paraId="4267FDFC" w14:textId="6E99FD24" w:rsidR="00AB297F" w:rsidRPr="00790365" w:rsidRDefault="00AB297F" w:rsidP="00AB297F">
            <w:pPr>
              <w:tabs>
                <w:tab w:val="left" w:pos="11064"/>
              </w:tabs>
            </w:pPr>
            <w:r>
              <w:t xml:space="preserve">Commitment to review and refresh the governance structure, including introducing a new Sub Committee with people and wellbeing focus. </w:t>
            </w:r>
          </w:p>
        </w:tc>
      </w:tr>
      <w:tr w:rsidR="00AB297F" w:rsidRPr="00414BF2" w14:paraId="121751FE" w14:textId="77777777" w:rsidTr="00C27C0E">
        <w:trPr>
          <w:trHeight w:val="567"/>
        </w:trPr>
        <w:tc>
          <w:tcPr>
            <w:tcW w:w="4673" w:type="dxa"/>
            <w:vMerge/>
          </w:tcPr>
          <w:p w14:paraId="6D45925F" w14:textId="77777777" w:rsidR="00AB297F" w:rsidRDefault="00AB297F" w:rsidP="00AB297F"/>
        </w:tc>
        <w:tc>
          <w:tcPr>
            <w:tcW w:w="10631" w:type="dxa"/>
          </w:tcPr>
          <w:p w14:paraId="210D30D6" w14:textId="412EDE7D" w:rsidR="00AB297F" w:rsidRPr="00790365" w:rsidRDefault="00AB297F" w:rsidP="00AB297F">
            <w:pPr>
              <w:tabs>
                <w:tab w:val="left" w:pos="11064"/>
              </w:tabs>
            </w:pPr>
            <w:r>
              <w:t xml:space="preserve">Commit to best practise governance approaches and benchmark accordingly.  Currently seeking advice from Sport NZ on best practise approaches. </w:t>
            </w:r>
          </w:p>
        </w:tc>
      </w:tr>
      <w:tr w:rsidR="00AB297F" w:rsidRPr="00414BF2" w14:paraId="2561B5EC" w14:textId="77777777" w:rsidTr="00C27C0E">
        <w:trPr>
          <w:trHeight w:val="442"/>
        </w:trPr>
        <w:tc>
          <w:tcPr>
            <w:tcW w:w="4673" w:type="dxa"/>
            <w:vMerge/>
          </w:tcPr>
          <w:p w14:paraId="41D5538E" w14:textId="77777777" w:rsidR="00AB297F" w:rsidRDefault="00AB297F" w:rsidP="00AB297F"/>
        </w:tc>
        <w:tc>
          <w:tcPr>
            <w:tcW w:w="10631" w:type="dxa"/>
          </w:tcPr>
          <w:p w14:paraId="2FF3571D" w14:textId="081FD959" w:rsidR="00AB297F" w:rsidRPr="00790365" w:rsidRDefault="00AB297F" w:rsidP="00AB297F">
            <w:pPr>
              <w:tabs>
                <w:tab w:val="left" w:pos="11064"/>
              </w:tabs>
            </w:pPr>
            <w:r>
              <w:t xml:space="preserve">Defined processes and behaviours. Regular assessment. </w:t>
            </w:r>
          </w:p>
        </w:tc>
      </w:tr>
      <w:tr w:rsidR="00AB297F" w:rsidRPr="00414BF2" w14:paraId="3DF1C92A" w14:textId="77777777" w:rsidTr="00C27C0E">
        <w:trPr>
          <w:trHeight w:val="535"/>
        </w:trPr>
        <w:tc>
          <w:tcPr>
            <w:tcW w:w="4673" w:type="dxa"/>
            <w:vMerge/>
          </w:tcPr>
          <w:p w14:paraId="375B2F03" w14:textId="77777777" w:rsidR="00AB297F" w:rsidRDefault="00AB297F" w:rsidP="00AB297F"/>
        </w:tc>
        <w:tc>
          <w:tcPr>
            <w:tcW w:w="10631" w:type="dxa"/>
          </w:tcPr>
          <w:p w14:paraId="40274794" w14:textId="781994FD" w:rsidR="00AB297F" w:rsidRPr="00790365" w:rsidRDefault="00AB297F" w:rsidP="00AB297F">
            <w:pPr>
              <w:tabs>
                <w:tab w:val="left" w:pos="11064"/>
              </w:tabs>
            </w:pPr>
            <w:r>
              <w:t>Ensure greater reporting from management in regards Wellbeing benchmarks</w:t>
            </w:r>
          </w:p>
        </w:tc>
      </w:tr>
      <w:tr w:rsidR="00AB297F" w:rsidRPr="00414BF2" w14:paraId="19313E2F" w14:textId="77777777" w:rsidTr="00C27C0E">
        <w:trPr>
          <w:trHeight w:val="567"/>
        </w:trPr>
        <w:tc>
          <w:tcPr>
            <w:tcW w:w="4673" w:type="dxa"/>
            <w:vMerge w:val="restart"/>
          </w:tcPr>
          <w:p w14:paraId="5538D5C4" w14:textId="77777777" w:rsidR="00AB297F" w:rsidRPr="00AB297F" w:rsidRDefault="00AB297F" w:rsidP="00AB297F">
            <w:pPr>
              <w:rPr>
                <w:b/>
                <w:bCs/>
              </w:rPr>
            </w:pPr>
            <w:r w:rsidRPr="00AB297F">
              <w:rPr>
                <w:b/>
                <w:bCs/>
              </w:rPr>
              <w:t>FA9.2</w:t>
            </w:r>
          </w:p>
          <w:p w14:paraId="32A0F728" w14:textId="234EF229" w:rsidR="00AB297F" w:rsidRDefault="00AB297F" w:rsidP="00AB297F">
            <w:r w:rsidRPr="00025C8E">
              <w:t>CNZ and HPSNZ reflect on whether the current governance structure matches the overwhelming importance of the HPP (to CNZ) and what is required to be delivered by an organisation that is responsible for the whole of cycling, from community participation through to high performance.</w:t>
            </w:r>
          </w:p>
        </w:tc>
        <w:tc>
          <w:tcPr>
            <w:tcW w:w="10631" w:type="dxa"/>
          </w:tcPr>
          <w:p w14:paraId="36266B24" w14:textId="77777777" w:rsidR="00AB297F" w:rsidRDefault="00AB297F" w:rsidP="00AB297F">
            <w:pPr>
              <w:tabs>
                <w:tab w:val="left" w:pos="11064"/>
              </w:tabs>
            </w:pPr>
            <w:r>
              <w:t xml:space="preserve">Board agreed there is an urgent need to review the effectiveness of the current governance structure of CNZ.  Identify gaps and future options for a fit for purpose structure and model. See above </w:t>
            </w:r>
          </w:p>
          <w:p w14:paraId="64367B9E" w14:textId="77777777" w:rsidR="00AB297F" w:rsidRPr="00790365" w:rsidRDefault="00AB297F" w:rsidP="00AB297F">
            <w:pPr>
              <w:tabs>
                <w:tab w:val="left" w:pos="11064"/>
              </w:tabs>
            </w:pPr>
          </w:p>
        </w:tc>
      </w:tr>
      <w:tr w:rsidR="00AB297F" w:rsidRPr="00414BF2" w14:paraId="288DAB90" w14:textId="77777777" w:rsidTr="00C27C0E">
        <w:trPr>
          <w:trHeight w:val="567"/>
        </w:trPr>
        <w:tc>
          <w:tcPr>
            <w:tcW w:w="4673" w:type="dxa"/>
            <w:vMerge/>
          </w:tcPr>
          <w:p w14:paraId="34632849" w14:textId="77777777" w:rsidR="00AB297F" w:rsidRDefault="00AB297F" w:rsidP="00AB297F"/>
        </w:tc>
        <w:tc>
          <w:tcPr>
            <w:tcW w:w="10631" w:type="dxa"/>
          </w:tcPr>
          <w:p w14:paraId="5B0D4E9C" w14:textId="6F94728F" w:rsidR="00AB297F" w:rsidRPr="00790365" w:rsidRDefault="00AB297F" w:rsidP="00AB297F">
            <w:pPr>
              <w:tabs>
                <w:tab w:val="left" w:pos="11064"/>
              </w:tabs>
            </w:pPr>
            <w:r>
              <w:t xml:space="preserve">Commit to establishing Sub Committees /Expert Groups as required to provide adequate leadership, engagement, and oversight of key areas of operation – including High Performance, People and Culture and Wellbeing. </w:t>
            </w:r>
          </w:p>
        </w:tc>
      </w:tr>
      <w:tr w:rsidR="00AB297F" w:rsidRPr="00414BF2" w14:paraId="72C94B81" w14:textId="77777777" w:rsidTr="00C27C0E">
        <w:trPr>
          <w:trHeight w:val="448"/>
        </w:trPr>
        <w:tc>
          <w:tcPr>
            <w:tcW w:w="4673" w:type="dxa"/>
            <w:vMerge/>
          </w:tcPr>
          <w:p w14:paraId="206D7F5C" w14:textId="77777777" w:rsidR="00AB297F" w:rsidRDefault="00AB297F" w:rsidP="00AB297F"/>
        </w:tc>
        <w:tc>
          <w:tcPr>
            <w:tcW w:w="10631" w:type="dxa"/>
          </w:tcPr>
          <w:p w14:paraId="23BBB2DB" w14:textId="7CC147DB" w:rsidR="00AB297F" w:rsidRPr="00790365" w:rsidRDefault="00AB297F" w:rsidP="00AB297F">
            <w:pPr>
              <w:tabs>
                <w:tab w:val="left" w:pos="11064"/>
              </w:tabs>
            </w:pPr>
            <w:r>
              <w:t xml:space="preserve">Investigate sport options in NZ as well as global models. </w:t>
            </w:r>
          </w:p>
        </w:tc>
      </w:tr>
      <w:tr w:rsidR="00AB297F" w:rsidRPr="00414BF2" w14:paraId="3E227E31" w14:textId="77777777" w:rsidTr="00C27C0E">
        <w:trPr>
          <w:trHeight w:val="412"/>
        </w:trPr>
        <w:tc>
          <w:tcPr>
            <w:tcW w:w="4673" w:type="dxa"/>
            <w:vMerge/>
          </w:tcPr>
          <w:p w14:paraId="7FDE1B27" w14:textId="77777777" w:rsidR="00AB297F" w:rsidRDefault="00AB297F" w:rsidP="00AB297F"/>
        </w:tc>
        <w:tc>
          <w:tcPr>
            <w:tcW w:w="10631" w:type="dxa"/>
          </w:tcPr>
          <w:p w14:paraId="06C49205" w14:textId="55CED5BF" w:rsidR="00AB297F" w:rsidRPr="00790365" w:rsidRDefault="00AB297F" w:rsidP="00AB297F">
            <w:pPr>
              <w:tabs>
                <w:tab w:val="left" w:pos="11064"/>
              </w:tabs>
            </w:pPr>
            <w:r>
              <w:t xml:space="preserve">Consider how the Board interacts with athletes. Ensure an effective mechanism for the future. </w:t>
            </w:r>
          </w:p>
        </w:tc>
      </w:tr>
      <w:tr w:rsidR="00AB297F" w:rsidRPr="00414BF2" w14:paraId="50122A64" w14:textId="77777777" w:rsidTr="00C27C0E">
        <w:trPr>
          <w:trHeight w:val="567"/>
        </w:trPr>
        <w:tc>
          <w:tcPr>
            <w:tcW w:w="4673" w:type="dxa"/>
          </w:tcPr>
          <w:p w14:paraId="0A1826E4" w14:textId="77777777" w:rsidR="00AB297F" w:rsidRPr="00AB297F" w:rsidRDefault="00AB297F" w:rsidP="00AB297F">
            <w:pPr>
              <w:rPr>
                <w:b/>
                <w:bCs/>
              </w:rPr>
            </w:pPr>
            <w:r w:rsidRPr="00AB297F">
              <w:rPr>
                <w:b/>
                <w:bCs/>
              </w:rPr>
              <w:t>FA9.3</w:t>
            </w:r>
          </w:p>
          <w:p w14:paraId="6F21087F" w14:textId="07A8C25B" w:rsidR="00AB297F" w:rsidRDefault="00AB297F" w:rsidP="00AB297F">
            <w:r w:rsidRPr="00025C8E">
              <w:t xml:space="preserve">CNZ’s board consider the make-up of CNZ’s SLT, in concert with its CEO, </w:t>
            </w:r>
            <w:proofErr w:type="gramStart"/>
            <w:r w:rsidRPr="00025C8E">
              <w:t>taking into account</w:t>
            </w:r>
            <w:proofErr w:type="gramEnd"/>
            <w:r w:rsidRPr="00025C8E">
              <w:t xml:space="preserve"> issues raised during this process.</w:t>
            </w:r>
          </w:p>
        </w:tc>
        <w:tc>
          <w:tcPr>
            <w:tcW w:w="10631" w:type="dxa"/>
          </w:tcPr>
          <w:p w14:paraId="33D9945C" w14:textId="77777777" w:rsidR="00AB297F" w:rsidRDefault="00AB297F" w:rsidP="00AB297F">
            <w:pPr>
              <w:tabs>
                <w:tab w:val="left" w:pos="11064"/>
              </w:tabs>
            </w:pPr>
            <w:r w:rsidRPr="0037557C">
              <w:t xml:space="preserve">Progress </w:t>
            </w:r>
            <w:r>
              <w:t xml:space="preserve">with CEO recruitment in Q 4 2022 as planned.  </w:t>
            </w:r>
          </w:p>
          <w:p w14:paraId="3D1D6CA8" w14:textId="77777777" w:rsidR="00AB297F" w:rsidRDefault="00AB297F" w:rsidP="00AB297F">
            <w:pPr>
              <w:tabs>
                <w:tab w:val="left" w:pos="11064"/>
              </w:tabs>
            </w:pPr>
          </w:p>
          <w:p w14:paraId="614FDE5B" w14:textId="6FE252CD" w:rsidR="00AB297F" w:rsidRPr="00790365" w:rsidRDefault="00AB297F" w:rsidP="00AB297F">
            <w:pPr>
              <w:tabs>
                <w:tab w:val="left" w:pos="11064"/>
              </w:tabs>
            </w:pPr>
            <w:r>
              <w:t xml:space="preserve">Assess organisational structure and capability are fit for purpose in leading and manging CNZ noting the requirements to have exceptional people leadership, with strong commercial imperatives. </w:t>
            </w:r>
          </w:p>
        </w:tc>
      </w:tr>
      <w:tr w:rsidR="00C1122B" w:rsidRPr="00414BF2" w14:paraId="360D4E94" w14:textId="77777777" w:rsidTr="00C27C0E">
        <w:trPr>
          <w:trHeight w:val="567"/>
        </w:trPr>
        <w:tc>
          <w:tcPr>
            <w:tcW w:w="15304" w:type="dxa"/>
            <w:gridSpan w:val="2"/>
            <w:shd w:val="clear" w:color="auto" w:fill="D9D9D9" w:themeFill="background1" w:themeFillShade="D9"/>
          </w:tcPr>
          <w:p w14:paraId="5A34FCB7" w14:textId="77777777" w:rsidR="00C1122B" w:rsidRDefault="00C1122B" w:rsidP="00C1122B">
            <w:pPr>
              <w:tabs>
                <w:tab w:val="left" w:pos="11064"/>
              </w:tabs>
              <w:rPr>
                <w:b/>
                <w:bCs/>
                <w:sz w:val="24"/>
                <w:szCs w:val="24"/>
              </w:rPr>
            </w:pPr>
            <w:r>
              <w:rPr>
                <w:b/>
                <w:bCs/>
                <w:sz w:val="24"/>
                <w:szCs w:val="24"/>
              </w:rPr>
              <w:t>FA10: Role Clarity</w:t>
            </w:r>
          </w:p>
          <w:p w14:paraId="41C1775F" w14:textId="60AA67ED" w:rsidR="00C1122B" w:rsidRPr="00C1122B" w:rsidRDefault="00C1122B" w:rsidP="00AB297F">
            <w:pPr>
              <w:tabs>
                <w:tab w:val="left" w:pos="11064"/>
              </w:tabs>
              <w:rPr>
                <w:b/>
                <w:bCs/>
                <w:sz w:val="24"/>
                <w:szCs w:val="24"/>
              </w:rPr>
            </w:pPr>
            <w:r w:rsidRPr="004F6BBF">
              <w:rPr>
                <w:rFonts w:cs="Calibri"/>
              </w:rPr>
              <w:t>There is a need to ensure clarity and understanding within CNZ and HPSNZ on the rights, responsibilities and accountabilities of organi</w:t>
            </w:r>
            <w:r>
              <w:rPr>
                <w:rFonts w:cs="Calibri"/>
              </w:rPr>
              <w:t>sa</w:t>
            </w:r>
            <w:r w:rsidRPr="004F6BBF">
              <w:rPr>
                <w:rFonts w:cs="Calibri"/>
              </w:rPr>
              <w:t>tions and individuals operating within the CNZ high performance programme.  (Scope- providers, coaches, tech personal, athletes</w:t>
            </w:r>
            <w:r>
              <w:rPr>
                <w:rFonts w:cs="Calibri"/>
              </w:rPr>
              <w:t>, medical)</w:t>
            </w:r>
          </w:p>
        </w:tc>
      </w:tr>
      <w:tr w:rsidR="003E3969" w:rsidRPr="00414BF2" w14:paraId="5DD2B1C9" w14:textId="77777777" w:rsidTr="00C27C0E">
        <w:trPr>
          <w:trHeight w:val="567"/>
        </w:trPr>
        <w:tc>
          <w:tcPr>
            <w:tcW w:w="4673" w:type="dxa"/>
            <w:tcBorders>
              <w:bottom w:val="single" w:sz="4" w:space="0" w:color="auto"/>
            </w:tcBorders>
          </w:tcPr>
          <w:p w14:paraId="69854450" w14:textId="77777777" w:rsidR="003E3969" w:rsidRPr="003E3969" w:rsidRDefault="003E3969" w:rsidP="003E3969">
            <w:pPr>
              <w:rPr>
                <w:b/>
                <w:bCs/>
              </w:rPr>
            </w:pPr>
            <w:r w:rsidRPr="003E3969">
              <w:rPr>
                <w:b/>
                <w:bCs/>
              </w:rPr>
              <w:t>FA10.1</w:t>
            </w:r>
          </w:p>
          <w:p w14:paraId="17248ADC" w14:textId="713201A6" w:rsidR="003E3969" w:rsidRDefault="003E3969" w:rsidP="003E3969">
            <w:r w:rsidRPr="00895CBE">
              <w:t>CNZ and HPSNZ must</w:t>
            </w:r>
            <w:r>
              <w:t xml:space="preserve"> </w:t>
            </w:r>
            <w:r w:rsidRPr="00895CBE">
              <w:t>ensure that there is clarity around HPSNZ and CNZ’s respective roles and responsibilities, and continuously and clearly communicate that to all stakeholders.</w:t>
            </w:r>
          </w:p>
        </w:tc>
        <w:tc>
          <w:tcPr>
            <w:tcW w:w="10631" w:type="dxa"/>
            <w:tcBorders>
              <w:bottom w:val="single" w:sz="4" w:space="0" w:color="auto"/>
            </w:tcBorders>
          </w:tcPr>
          <w:p w14:paraId="1E56547E" w14:textId="77777777" w:rsidR="003E3969" w:rsidRDefault="003E3969" w:rsidP="003E3969">
            <w:pPr>
              <w:tabs>
                <w:tab w:val="left" w:pos="11064"/>
              </w:tabs>
            </w:pPr>
            <w:r>
              <w:t>Document and ensure available for easy reference and ongoing communication.</w:t>
            </w:r>
            <w:r w:rsidRPr="00AD25E1">
              <w:t xml:space="preserve"> </w:t>
            </w:r>
          </w:p>
          <w:p w14:paraId="70F438A4" w14:textId="77777777" w:rsidR="003E3969" w:rsidRDefault="003E3969" w:rsidP="003E3969">
            <w:pPr>
              <w:tabs>
                <w:tab w:val="left" w:pos="11064"/>
              </w:tabs>
            </w:pPr>
          </w:p>
          <w:p w14:paraId="642DE7BC" w14:textId="77777777" w:rsidR="003E3969" w:rsidRPr="00AD25E1" w:rsidRDefault="003E3969" w:rsidP="003E3969">
            <w:pPr>
              <w:tabs>
                <w:tab w:val="left" w:pos="11064"/>
              </w:tabs>
            </w:pPr>
            <w:r w:rsidRPr="00AD25E1">
              <w:t xml:space="preserve">CNZ to initiate this process asap for CNZ personnel. Refer to 3.2 above. </w:t>
            </w:r>
          </w:p>
          <w:p w14:paraId="6FEFCE85" w14:textId="77777777" w:rsidR="003E3969" w:rsidRPr="00790365" w:rsidRDefault="003E3969" w:rsidP="003E3969">
            <w:pPr>
              <w:tabs>
                <w:tab w:val="left" w:pos="11064"/>
              </w:tabs>
            </w:pPr>
          </w:p>
        </w:tc>
      </w:tr>
      <w:tr w:rsidR="003E3969" w:rsidRPr="00414BF2" w14:paraId="2BF710E5" w14:textId="77777777" w:rsidTr="00C27C0E">
        <w:trPr>
          <w:trHeight w:val="919"/>
        </w:trPr>
        <w:tc>
          <w:tcPr>
            <w:tcW w:w="15304" w:type="dxa"/>
            <w:gridSpan w:val="2"/>
            <w:tcBorders>
              <w:top w:val="single" w:sz="4" w:space="0" w:color="auto"/>
            </w:tcBorders>
            <w:shd w:val="clear" w:color="auto" w:fill="D9D9D9" w:themeFill="background1" w:themeFillShade="D9"/>
          </w:tcPr>
          <w:p w14:paraId="794CB2CA" w14:textId="77777777" w:rsidR="003E3969" w:rsidRDefault="003E3969" w:rsidP="003E3969">
            <w:pPr>
              <w:tabs>
                <w:tab w:val="left" w:pos="11064"/>
              </w:tabs>
              <w:rPr>
                <w:b/>
                <w:bCs/>
                <w:sz w:val="24"/>
                <w:szCs w:val="24"/>
              </w:rPr>
            </w:pPr>
            <w:r>
              <w:rPr>
                <w:b/>
                <w:bCs/>
                <w:sz w:val="24"/>
                <w:szCs w:val="24"/>
              </w:rPr>
              <w:lastRenderedPageBreak/>
              <w:t>FA11: People Management &amp; Processes</w:t>
            </w:r>
          </w:p>
          <w:p w14:paraId="5BD2403B" w14:textId="0A66F16C" w:rsidR="003E3969" w:rsidRPr="003E3969" w:rsidRDefault="003E3969" w:rsidP="003E3969">
            <w:pPr>
              <w:tabs>
                <w:tab w:val="left" w:pos="11064"/>
              </w:tabs>
              <w:rPr>
                <w:b/>
                <w:bCs/>
                <w:sz w:val="24"/>
                <w:szCs w:val="24"/>
              </w:rPr>
            </w:pPr>
            <w:r w:rsidRPr="004F6BBF">
              <w:rPr>
                <w:rFonts w:cs="Calibri"/>
              </w:rPr>
              <w:t xml:space="preserve">Implement robust people processes including, recruitment, induction, performance management, training, development, exit interviews, </w:t>
            </w:r>
            <w:proofErr w:type="gramStart"/>
            <w:r w:rsidRPr="004F6BBF">
              <w:rPr>
                <w:rFonts w:cs="Calibri"/>
              </w:rPr>
              <w:t>diversity</w:t>
            </w:r>
            <w:proofErr w:type="gramEnd"/>
            <w:r w:rsidRPr="004F6BBF">
              <w:rPr>
                <w:rFonts w:cs="Calibri"/>
              </w:rPr>
              <w:t xml:space="preserve"> and inclusion strategies.</w:t>
            </w:r>
          </w:p>
        </w:tc>
      </w:tr>
      <w:tr w:rsidR="003E3969" w:rsidRPr="00414BF2" w14:paraId="32998EDE" w14:textId="77777777" w:rsidTr="00BC42F2">
        <w:trPr>
          <w:trHeight w:val="484"/>
        </w:trPr>
        <w:tc>
          <w:tcPr>
            <w:tcW w:w="4673" w:type="dxa"/>
            <w:vMerge w:val="restart"/>
          </w:tcPr>
          <w:p w14:paraId="1982B9D4" w14:textId="77777777" w:rsidR="003E3969" w:rsidRPr="003E3969" w:rsidRDefault="003E3969" w:rsidP="003E3969">
            <w:pPr>
              <w:rPr>
                <w:b/>
                <w:bCs/>
              </w:rPr>
            </w:pPr>
            <w:r w:rsidRPr="003E3969">
              <w:rPr>
                <w:b/>
                <w:bCs/>
              </w:rPr>
              <w:t>FA11.1</w:t>
            </w:r>
          </w:p>
          <w:p w14:paraId="67EA01D4" w14:textId="471FCC5D" w:rsidR="003E3969" w:rsidRDefault="003E3969" w:rsidP="003E3969">
            <w:r w:rsidRPr="00BA2B43">
              <w:t>CNZ and HPSNZ need to cement consistent processes for allowing all stakeholders to meaningfully participate in event debriefs. HPSNZ should also ensure that staff/contractors are debriefed within their relevant professional communities</w:t>
            </w:r>
          </w:p>
        </w:tc>
        <w:tc>
          <w:tcPr>
            <w:tcW w:w="10631" w:type="dxa"/>
          </w:tcPr>
          <w:p w14:paraId="1754FDCE" w14:textId="77BA8091" w:rsidR="003E3969" w:rsidRPr="00790365" w:rsidRDefault="003E3969" w:rsidP="003E3969">
            <w:pPr>
              <w:tabs>
                <w:tab w:val="left" w:pos="11064"/>
              </w:tabs>
            </w:pPr>
            <w:r w:rsidRPr="00DC70AF">
              <w:t xml:space="preserve">CNZ – </w:t>
            </w:r>
            <w:r>
              <w:t xml:space="preserve">implemented a debrief process for each campaign. Underway. </w:t>
            </w:r>
          </w:p>
        </w:tc>
      </w:tr>
      <w:tr w:rsidR="003E3969" w:rsidRPr="00414BF2" w14:paraId="5CA414A6" w14:textId="77777777" w:rsidTr="00BC42F2">
        <w:trPr>
          <w:trHeight w:val="484"/>
        </w:trPr>
        <w:tc>
          <w:tcPr>
            <w:tcW w:w="4673" w:type="dxa"/>
            <w:vMerge/>
          </w:tcPr>
          <w:p w14:paraId="7B40E915" w14:textId="77777777" w:rsidR="003E3969" w:rsidRDefault="003E3969" w:rsidP="003E3969"/>
        </w:tc>
        <w:tc>
          <w:tcPr>
            <w:tcW w:w="10631" w:type="dxa"/>
          </w:tcPr>
          <w:p w14:paraId="043ABE52" w14:textId="5624C145" w:rsidR="003E3969" w:rsidRPr="00790365" w:rsidRDefault="003E3969" w:rsidP="003E3969">
            <w:pPr>
              <w:tabs>
                <w:tab w:val="left" w:pos="11064"/>
              </w:tabs>
            </w:pPr>
            <w:r>
              <w:t xml:space="preserve">Policy, process and reporting/sharing of debriefs to be documented and shared. Policy to be reviewed regularly. </w:t>
            </w:r>
          </w:p>
        </w:tc>
      </w:tr>
      <w:tr w:rsidR="003E3969" w:rsidRPr="00414BF2" w14:paraId="2C7D8D41" w14:textId="77777777" w:rsidTr="00BC42F2">
        <w:trPr>
          <w:trHeight w:val="484"/>
        </w:trPr>
        <w:tc>
          <w:tcPr>
            <w:tcW w:w="4673" w:type="dxa"/>
            <w:vMerge/>
          </w:tcPr>
          <w:p w14:paraId="26231AF9" w14:textId="77777777" w:rsidR="003E3969" w:rsidRDefault="003E3969" w:rsidP="003E3969"/>
        </w:tc>
        <w:tc>
          <w:tcPr>
            <w:tcW w:w="10631" w:type="dxa"/>
          </w:tcPr>
          <w:p w14:paraId="2BCE82D2" w14:textId="2F3C35B4" w:rsidR="003E3969" w:rsidRPr="00790365" w:rsidRDefault="003E3969" w:rsidP="003E3969">
            <w:pPr>
              <w:tabs>
                <w:tab w:val="left" w:pos="11064"/>
              </w:tabs>
            </w:pPr>
            <w:r>
              <w:t xml:space="preserve">Suggest annual update to athletes, coaches, and HP personnel of debrief outcomes, learnings and actions arising. </w:t>
            </w:r>
          </w:p>
        </w:tc>
      </w:tr>
      <w:tr w:rsidR="003E3969" w:rsidRPr="00414BF2" w14:paraId="1DEAD728" w14:textId="77777777" w:rsidTr="00BC42F2">
        <w:trPr>
          <w:trHeight w:val="484"/>
        </w:trPr>
        <w:tc>
          <w:tcPr>
            <w:tcW w:w="4673" w:type="dxa"/>
            <w:vMerge/>
          </w:tcPr>
          <w:p w14:paraId="06C6734A" w14:textId="77777777" w:rsidR="003E3969" w:rsidRDefault="003E3969" w:rsidP="003E3969"/>
        </w:tc>
        <w:tc>
          <w:tcPr>
            <w:tcW w:w="10631" w:type="dxa"/>
          </w:tcPr>
          <w:p w14:paraId="06419B2E" w14:textId="70167048" w:rsidR="003E3969" w:rsidRPr="00790365" w:rsidRDefault="003E3969" w:rsidP="003E3969">
            <w:pPr>
              <w:tabs>
                <w:tab w:val="left" w:pos="11064"/>
              </w:tabs>
            </w:pPr>
            <w:r>
              <w:t xml:space="preserve">Benchmark approach and expectations with HPSNZ. </w:t>
            </w:r>
          </w:p>
        </w:tc>
      </w:tr>
      <w:tr w:rsidR="003E3969" w:rsidRPr="00414BF2" w14:paraId="5EC50E47" w14:textId="77777777" w:rsidTr="00BC42F2">
        <w:trPr>
          <w:trHeight w:val="484"/>
        </w:trPr>
        <w:tc>
          <w:tcPr>
            <w:tcW w:w="4673" w:type="dxa"/>
          </w:tcPr>
          <w:p w14:paraId="7811773C" w14:textId="77777777" w:rsidR="003E3969" w:rsidRPr="0001598F" w:rsidRDefault="003E3969" w:rsidP="003E3969">
            <w:pPr>
              <w:rPr>
                <w:b/>
                <w:bCs/>
              </w:rPr>
            </w:pPr>
            <w:r w:rsidRPr="0001598F">
              <w:rPr>
                <w:b/>
                <w:bCs/>
              </w:rPr>
              <w:t>FA11.2</w:t>
            </w:r>
          </w:p>
          <w:p w14:paraId="511823CB" w14:textId="77777777" w:rsidR="003E3969" w:rsidRDefault="003E3969" w:rsidP="003E3969">
            <w:r w:rsidRPr="00CB3C30">
              <w:t>CNZ must ensure that its recruitment policy is put into effect for all recruitment processes and decisions, including in relation to coaches.</w:t>
            </w:r>
          </w:p>
          <w:p w14:paraId="7B263424" w14:textId="77777777" w:rsidR="003E3969" w:rsidRDefault="003E3969" w:rsidP="003E3969"/>
        </w:tc>
        <w:tc>
          <w:tcPr>
            <w:tcW w:w="10631" w:type="dxa"/>
          </w:tcPr>
          <w:p w14:paraId="03AB5413" w14:textId="26220B46" w:rsidR="003E3969" w:rsidRPr="00790365" w:rsidRDefault="003E3969" w:rsidP="003E3969">
            <w:pPr>
              <w:tabs>
                <w:tab w:val="left" w:pos="11064"/>
              </w:tabs>
            </w:pPr>
            <w:r w:rsidRPr="00DC70AF">
              <w:t xml:space="preserve">CNZ </w:t>
            </w:r>
            <w:r>
              <w:t xml:space="preserve">has reviewed and updated recruitment policies and process, including coaches. Will further evolve with People and Culture Manger appointment </w:t>
            </w:r>
          </w:p>
        </w:tc>
      </w:tr>
      <w:tr w:rsidR="003E3969" w:rsidRPr="00414BF2" w14:paraId="2992096D" w14:textId="77777777" w:rsidTr="00BC42F2">
        <w:trPr>
          <w:trHeight w:val="484"/>
        </w:trPr>
        <w:tc>
          <w:tcPr>
            <w:tcW w:w="4673" w:type="dxa"/>
          </w:tcPr>
          <w:p w14:paraId="50A5ACF0" w14:textId="77777777" w:rsidR="003E3969" w:rsidRPr="0001598F" w:rsidRDefault="003E3969" w:rsidP="003E3969">
            <w:pPr>
              <w:rPr>
                <w:b/>
                <w:bCs/>
              </w:rPr>
            </w:pPr>
            <w:r w:rsidRPr="0001598F">
              <w:rPr>
                <w:b/>
                <w:bCs/>
              </w:rPr>
              <w:t>FA11.3</w:t>
            </w:r>
          </w:p>
          <w:p w14:paraId="7EE854F7" w14:textId="77777777" w:rsidR="003E3969" w:rsidRDefault="003E3969" w:rsidP="003E3969">
            <w:r w:rsidRPr="00BE573A">
              <w:t>A more robust approach needs to be taken to recruitment at CNZ and greater emphasis on “cultural fit” and personal integrity is required, as are those steps set out in paragraph 177 (below), with support from HPSNZ as set out in paragraph 178.</w:t>
            </w:r>
          </w:p>
          <w:p w14:paraId="546C8FD1" w14:textId="77777777" w:rsidR="003E3969" w:rsidRDefault="003E3969" w:rsidP="003E3969"/>
        </w:tc>
        <w:tc>
          <w:tcPr>
            <w:tcW w:w="10631" w:type="dxa"/>
          </w:tcPr>
          <w:p w14:paraId="32108982" w14:textId="77777777" w:rsidR="003E3969" w:rsidRDefault="003E3969" w:rsidP="003E3969">
            <w:pPr>
              <w:tabs>
                <w:tab w:val="left" w:pos="11064"/>
              </w:tabs>
            </w:pPr>
            <w:r>
              <w:t>In place and active /u</w:t>
            </w:r>
            <w:r w:rsidRPr="00A22CE1">
              <w:t xml:space="preserve">nderway as per </w:t>
            </w:r>
            <w:r>
              <w:t xml:space="preserve">#177, noting the key points raised, including integrity, cultural fit, transparency, and diversity. </w:t>
            </w:r>
          </w:p>
          <w:p w14:paraId="63D6268E" w14:textId="3F780AC8" w:rsidR="003E3969" w:rsidRPr="00790365" w:rsidRDefault="003E3969" w:rsidP="003E3969">
            <w:pPr>
              <w:tabs>
                <w:tab w:val="left" w:pos="11064"/>
              </w:tabs>
            </w:pPr>
            <w:r>
              <w:t xml:space="preserve">People and Culture role, and more generally to embed diversity and professional development across organisation  </w:t>
            </w:r>
          </w:p>
        </w:tc>
      </w:tr>
      <w:tr w:rsidR="0001598F" w:rsidRPr="00414BF2" w14:paraId="11003953" w14:textId="77777777" w:rsidTr="00C27C0E">
        <w:trPr>
          <w:trHeight w:val="484"/>
        </w:trPr>
        <w:tc>
          <w:tcPr>
            <w:tcW w:w="4673" w:type="dxa"/>
            <w:tcBorders>
              <w:bottom w:val="single" w:sz="4" w:space="0" w:color="auto"/>
            </w:tcBorders>
          </w:tcPr>
          <w:p w14:paraId="39B27ED9" w14:textId="77777777" w:rsidR="0001598F" w:rsidRPr="0001598F" w:rsidRDefault="0001598F" w:rsidP="0001598F">
            <w:pPr>
              <w:tabs>
                <w:tab w:val="left" w:pos="11064"/>
              </w:tabs>
              <w:rPr>
                <w:b/>
                <w:bCs/>
              </w:rPr>
            </w:pPr>
            <w:r w:rsidRPr="0001598F">
              <w:rPr>
                <w:b/>
                <w:bCs/>
              </w:rPr>
              <w:t>FA11.4</w:t>
            </w:r>
          </w:p>
          <w:p w14:paraId="145BC718" w14:textId="0FB91C0F" w:rsidR="0001598F" w:rsidRDefault="0001598F" w:rsidP="0001598F">
            <w:r w:rsidRPr="006D5418">
              <w:t>CNZ, with support from HPSNZ, employ a People and Performance Manager in priority to a wellbeing officer. That person be appointed at a senior level with staff, including HPP staff and leaders, accountable to that person.</w:t>
            </w:r>
          </w:p>
        </w:tc>
        <w:tc>
          <w:tcPr>
            <w:tcW w:w="10631" w:type="dxa"/>
            <w:tcBorders>
              <w:bottom w:val="single" w:sz="4" w:space="0" w:color="auto"/>
            </w:tcBorders>
          </w:tcPr>
          <w:p w14:paraId="4B761B07" w14:textId="77777777" w:rsidR="0001598F" w:rsidRPr="006D5418" w:rsidRDefault="0001598F" w:rsidP="0001598F">
            <w:pPr>
              <w:tabs>
                <w:tab w:val="left" w:pos="11064"/>
              </w:tabs>
            </w:pPr>
            <w:r w:rsidRPr="006D5418">
              <w:t>On track. Business case to HPSNZ/SNZ</w:t>
            </w:r>
          </w:p>
          <w:p w14:paraId="0CF7C27F" w14:textId="77777777" w:rsidR="0001598F" w:rsidRDefault="0001598F" w:rsidP="0001598F">
            <w:pPr>
              <w:tabs>
                <w:tab w:val="left" w:pos="11064"/>
              </w:tabs>
            </w:pPr>
          </w:p>
          <w:p w14:paraId="17ED4BA5" w14:textId="77777777" w:rsidR="0001598F" w:rsidRPr="006D5418" w:rsidRDefault="0001598F" w:rsidP="0001598F">
            <w:pPr>
              <w:tabs>
                <w:tab w:val="left" w:pos="11064"/>
              </w:tabs>
            </w:pPr>
            <w:r w:rsidRPr="006D5418">
              <w:t>To oversee systems, processes, and people development.</w:t>
            </w:r>
          </w:p>
          <w:p w14:paraId="057BB3B0" w14:textId="77777777" w:rsidR="0001598F" w:rsidRDefault="0001598F" w:rsidP="0001598F">
            <w:pPr>
              <w:tabs>
                <w:tab w:val="left" w:pos="11064"/>
              </w:tabs>
            </w:pPr>
          </w:p>
          <w:p w14:paraId="1FF18ECE" w14:textId="75A929FF" w:rsidR="0001598F" w:rsidRPr="00790365" w:rsidRDefault="0001598F" w:rsidP="0001598F">
            <w:pPr>
              <w:tabs>
                <w:tab w:val="left" w:pos="11064"/>
              </w:tabs>
            </w:pPr>
            <w:r w:rsidRPr="006D5418">
              <w:t>People and Culture Manager a Senior Leadership Team member. Sport NZ and HPSNZ engaged in the process</w:t>
            </w:r>
            <w:r>
              <w:t>.</w:t>
            </w:r>
          </w:p>
        </w:tc>
      </w:tr>
      <w:tr w:rsidR="00C27C0E" w:rsidRPr="00414BF2" w14:paraId="48CA617E" w14:textId="77777777" w:rsidTr="00C27C0E">
        <w:trPr>
          <w:trHeight w:val="484"/>
        </w:trPr>
        <w:tc>
          <w:tcPr>
            <w:tcW w:w="4673" w:type="dxa"/>
            <w:tcBorders>
              <w:top w:val="single" w:sz="4" w:space="0" w:color="auto"/>
              <w:left w:val="nil"/>
              <w:bottom w:val="single" w:sz="4" w:space="0" w:color="auto"/>
              <w:right w:val="nil"/>
            </w:tcBorders>
          </w:tcPr>
          <w:p w14:paraId="1B85E9FC" w14:textId="77777777" w:rsidR="00C27C0E" w:rsidRDefault="00C27C0E" w:rsidP="0001598F">
            <w:pPr>
              <w:tabs>
                <w:tab w:val="left" w:pos="11064"/>
              </w:tabs>
              <w:rPr>
                <w:b/>
                <w:bCs/>
              </w:rPr>
            </w:pPr>
          </w:p>
          <w:p w14:paraId="4C860936" w14:textId="77777777" w:rsidR="00C27C0E" w:rsidRDefault="00C27C0E" w:rsidP="0001598F">
            <w:pPr>
              <w:tabs>
                <w:tab w:val="left" w:pos="11064"/>
              </w:tabs>
              <w:rPr>
                <w:b/>
                <w:bCs/>
              </w:rPr>
            </w:pPr>
          </w:p>
          <w:p w14:paraId="18BE8949" w14:textId="77777777" w:rsidR="00C27C0E" w:rsidRPr="0001598F" w:rsidRDefault="00C27C0E" w:rsidP="0001598F">
            <w:pPr>
              <w:tabs>
                <w:tab w:val="left" w:pos="11064"/>
              </w:tabs>
              <w:rPr>
                <w:b/>
                <w:bCs/>
              </w:rPr>
            </w:pPr>
          </w:p>
        </w:tc>
        <w:tc>
          <w:tcPr>
            <w:tcW w:w="10631" w:type="dxa"/>
            <w:tcBorders>
              <w:top w:val="single" w:sz="4" w:space="0" w:color="auto"/>
              <w:left w:val="nil"/>
              <w:bottom w:val="single" w:sz="4" w:space="0" w:color="auto"/>
              <w:right w:val="nil"/>
            </w:tcBorders>
          </w:tcPr>
          <w:p w14:paraId="60A5841E" w14:textId="77777777" w:rsidR="00C27C0E" w:rsidRPr="006D5418" w:rsidRDefault="00C27C0E" w:rsidP="0001598F">
            <w:pPr>
              <w:tabs>
                <w:tab w:val="left" w:pos="11064"/>
              </w:tabs>
            </w:pPr>
          </w:p>
        </w:tc>
      </w:tr>
      <w:tr w:rsidR="0001598F" w:rsidRPr="00414BF2" w14:paraId="402E60A3" w14:textId="77777777" w:rsidTr="00C27C0E">
        <w:trPr>
          <w:trHeight w:val="983"/>
        </w:trPr>
        <w:tc>
          <w:tcPr>
            <w:tcW w:w="15304" w:type="dxa"/>
            <w:gridSpan w:val="2"/>
            <w:tcBorders>
              <w:top w:val="single" w:sz="4" w:space="0" w:color="auto"/>
            </w:tcBorders>
            <w:shd w:val="clear" w:color="auto" w:fill="D9D9D9" w:themeFill="background1" w:themeFillShade="D9"/>
          </w:tcPr>
          <w:p w14:paraId="74F4CEE6" w14:textId="77777777" w:rsidR="0001598F" w:rsidRDefault="0001598F" w:rsidP="0001598F">
            <w:pPr>
              <w:tabs>
                <w:tab w:val="left" w:pos="11064"/>
              </w:tabs>
              <w:rPr>
                <w:b/>
                <w:bCs/>
                <w:sz w:val="24"/>
                <w:szCs w:val="24"/>
              </w:rPr>
            </w:pPr>
            <w:r>
              <w:rPr>
                <w:b/>
                <w:bCs/>
                <w:sz w:val="24"/>
                <w:szCs w:val="24"/>
              </w:rPr>
              <w:lastRenderedPageBreak/>
              <w:t>FA12: Organisational Processes</w:t>
            </w:r>
          </w:p>
          <w:p w14:paraId="7CE6E00D" w14:textId="768E3258" w:rsidR="0001598F" w:rsidRPr="00417A52" w:rsidRDefault="0001598F" w:rsidP="0001598F">
            <w:pPr>
              <w:tabs>
                <w:tab w:val="left" w:pos="11064"/>
              </w:tabs>
              <w:rPr>
                <w:b/>
                <w:bCs/>
                <w:sz w:val="24"/>
                <w:szCs w:val="24"/>
              </w:rPr>
            </w:pPr>
            <w:r w:rsidRPr="004F6BBF">
              <w:rPr>
                <w:rFonts w:cs="Calibri"/>
              </w:rPr>
              <w:t xml:space="preserve">Develop, educate, </w:t>
            </w:r>
            <w:proofErr w:type="gramStart"/>
            <w:r w:rsidRPr="004F6BBF">
              <w:rPr>
                <w:rFonts w:cs="Calibri"/>
              </w:rPr>
              <w:t>embed</w:t>
            </w:r>
            <w:proofErr w:type="gramEnd"/>
            <w:r w:rsidRPr="004F6BBF">
              <w:rPr>
                <w:rFonts w:cs="Calibri"/>
              </w:rPr>
              <w:t xml:space="preserve"> and systematically review policies, procedures that underpin the ethics, welfare and integrity of the CNZ performance environment. (Scope – conduct, safeguarding, escalation, protection of wellbeing, diversity, debriefs)</w:t>
            </w:r>
          </w:p>
        </w:tc>
      </w:tr>
      <w:tr w:rsidR="00417A52" w:rsidRPr="00414BF2" w14:paraId="25964909" w14:textId="77777777" w:rsidTr="00BC42F2">
        <w:trPr>
          <w:trHeight w:val="484"/>
        </w:trPr>
        <w:tc>
          <w:tcPr>
            <w:tcW w:w="4673" w:type="dxa"/>
          </w:tcPr>
          <w:p w14:paraId="59DBE0B4" w14:textId="77777777" w:rsidR="00417A52" w:rsidRPr="006D5BCF" w:rsidRDefault="00417A52" w:rsidP="00417A52">
            <w:pPr>
              <w:rPr>
                <w:b/>
                <w:bCs/>
              </w:rPr>
            </w:pPr>
            <w:r w:rsidRPr="006D5BCF">
              <w:rPr>
                <w:b/>
                <w:bCs/>
              </w:rPr>
              <w:t>FA12.1</w:t>
            </w:r>
          </w:p>
          <w:p w14:paraId="63483CE5" w14:textId="77777777" w:rsidR="00417A52" w:rsidRPr="004A052B" w:rsidRDefault="00417A52" w:rsidP="00417A52">
            <w:r w:rsidRPr="004A052B">
              <w:t>CNZ (with support from HPSNZ as required) must ensure that all people within its organisation are familiar with its policies and undertake regular and robust training on what those policies mean and more importantly apply these in their daily practice. All stakeholders (regardless of employment status) should play an active role in discussing how the policies operate, and what they require people to do in difficult situations. In- person sessions would be preferable to online programmes.</w:t>
            </w:r>
          </w:p>
          <w:p w14:paraId="754F2B1D" w14:textId="77777777" w:rsidR="00417A52" w:rsidRPr="0001598F" w:rsidRDefault="00417A52" w:rsidP="00417A52">
            <w:pPr>
              <w:tabs>
                <w:tab w:val="left" w:pos="11064"/>
              </w:tabs>
              <w:rPr>
                <w:b/>
                <w:bCs/>
              </w:rPr>
            </w:pPr>
          </w:p>
        </w:tc>
        <w:tc>
          <w:tcPr>
            <w:tcW w:w="10631" w:type="dxa"/>
          </w:tcPr>
          <w:p w14:paraId="6554FF6C" w14:textId="77777777" w:rsidR="00417A52" w:rsidRDefault="00417A52" w:rsidP="00417A52">
            <w:pPr>
              <w:tabs>
                <w:tab w:val="left" w:pos="11064"/>
              </w:tabs>
            </w:pPr>
            <w:r>
              <w:t>CNZ to develop and lead a “audit” process to:</w:t>
            </w:r>
          </w:p>
          <w:p w14:paraId="08D7B119" w14:textId="77777777" w:rsidR="00417A52" w:rsidRDefault="00417A52" w:rsidP="00417A52">
            <w:pPr>
              <w:pStyle w:val="ListParagraph"/>
              <w:numPr>
                <w:ilvl w:val="0"/>
                <w:numId w:val="2"/>
              </w:numPr>
              <w:tabs>
                <w:tab w:val="left" w:pos="11064"/>
              </w:tabs>
            </w:pPr>
            <w:r>
              <w:t xml:space="preserve">Ensure policies are documented &amp; their review process is clear and agreed and document. </w:t>
            </w:r>
          </w:p>
          <w:p w14:paraId="55B1BDE9" w14:textId="77777777" w:rsidR="00417A52" w:rsidRDefault="00417A52" w:rsidP="00417A52">
            <w:pPr>
              <w:pStyle w:val="ListParagraph"/>
              <w:numPr>
                <w:ilvl w:val="0"/>
                <w:numId w:val="2"/>
              </w:numPr>
              <w:tabs>
                <w:tab w:val="left" w:pos="11064"/>
              </w:tabs>
            </w:pPr>
            <w:r>
              <w:t>Assess approach to training/education approach.</w:t>
            </w:r>
          </w:p>
          <w:p w14:paraId="1ECF6578" w14:textId="77777777" w:rsidR="00417A52" w:rsidRDefault="00417A52" w:rsidP="00417A52">
            <w:pPr>
              <w:pStyle w:val="ListParagraph"/>
              <w:numPr>
                <w:ilvl w:val="0"/>
                <w:numId w:val="2"/>
              </w:numPr>
              <w:tabs>
                <w:tab w:val="left" w:pos="11064"/>
              </w:tabs>
            </w:pPr>
            <w:r>
              <w:t xml:space="preserve">Consider ways to make these policies readily available. </w:t>
            </w:r>
          </w:p>
          <w:p w14:paraId="15746D8F" w14:textId="77777777" w:rsidR="00417A52" w:rsidRDefault="00417A52" w:rsidP="00417A52">
            <w:pPr>
              <w:pStyle w:val="ListParagraph"/>
              <w:numPr>
                <w:ilvl w:val="0"/>
                <w:numId w:val="2"/>
              </w:numPr>
              <w:tabs>
                <w:tab w:val="left" w:pos="11064"/>
              </w:tabs>
            </w:pPr>
            <w:r>
              <w:t>Consider the scope of the policies in regards conduct, safeguarding, escalation, diversity, debriefs etc).</w:t>
            </w:r>
          </w:p>
          <w:p w14:paraId="2E9BCCEF" w14:textId="77777777" w:rsidR="00417A52" w:rsidRDefault="00417A52" w:rsidP="00417A52">
            <w:pPr>
              <w:tabs>
                <w:tab w:val="left" w:pos="11064"/>
              </w:tabs>
            </w:pPr>
          </w:p>
          <w:p w14:paraId="7935F21D" w14:textId="2A11B954" w:rsidR="00417A52" w:rsidRPr="006D5418" w:rsidRDefault="00417A52" w:rsidP="00417A52">
            <w:pPr>
              <w:tabs>
                <w:tab w:val="left" w:pos="11064"/>
              </w:tabs>
            </w:pPr>
            <w:r>
              <w:t xml:space="preserve">Complete an annual audit. </w:t>
            </w:r>
          </w:p>
        </w:tc>
      </w:tr>
      <w:tr w:rsidR="00417A52" w:rsidRPr="00414BF2" w14:paraId="2422355C" w14:textId="77777777" w:rsidTr="00BC42F2">
        <w:trPr>
          <w:trHeight w:val="484"/>
        </w:trPr>
        <w:tc>
          <w:tcPr>
            <w:tcW w:w="4673" w:type="dxa"/>
          </w:tcPr>
          <w:p w14:paraId="3A36E1AA" w14:textId="77777777" w:rsidR="00417A52" w:rsidRPr="006D5BCF" w:rsidRDefault="00417A52" w:rsidP="00417A52">
            <w:pPr>
              <w:rPr>
                <w:b/>
                <w:bCs/>
              </w:rPr>
            </w:pPr>
            <w:r w:rsidRPr="006D5BCF">
              <w:rPr>
                <w:b/>
                <w:bCs/>
              </w:rPr>
              <w:t>FA12.2</w:t>
            </w:r>
          </w:p>
          <w:p w14:paraId="667C0D99" w14:textId="77777777" w:rsidR="00417A52" w:rsidRDefault="00417A52" w:rsidP="00417A52">
            <w:r>
              <w:t>Debrief policies should be subject to staff, athlete and contractor consultation and should detail all parts of the process (as set out below).</w:t>
            </w:r>
          </w:p>
          <w:p w14:paraId="5757EC37" w14:textId="77777777" w:rsidR="00417A52" w:rsidRPr="0001598F" w:rsidRDefault="00417A52" w:rsidP="00417A52">
            <w:pPr>
              <w:tabs>
                <w:tab w:val="left" w:pos="11064"/>
              </w:tabs>
              <w:rPr>
                <w:b/>
                <w:bCs/>
              </w:rPr>
            </w:pPr>
          </w:p>
        </w:tc>
        <w:tc>
          <w:tcPr>
            <w:tcW w:w="10631" w:type="dxa"/>
          </w:tcPr>
          <w:p w14:paraId="4022946D" w14:textId="77777777" w:rsidR="00417A52" w:rsidRDefault="00417A52" w:rsidP="00417A52">
            <w:pPr>
              <w:tabs>
                <w:tab w:val="left" w:pos="11064"/>
              </w:tabs>
            </w:pPr>
            <w:r>
              <w:t xml:space="preserve">CNZ have reviewed policy and approach to debriefs. Implemented a new approach. All debriefs apply to athletes, staff, and contractors. </w:t>
            </w:r>
          </w:p>
          <w:p w14:paraId="09A4FE61" w14:textId="77777777" w:rsidR="00417A52" w:rsidRDefault="00417A52" w:rsidP="00417A52">
            <w:pPr>
              <w:tabs>
                <w:tab w:val="left" w:pos="11064"/>
              </w:tabs>
            </w:pPr>
          </w:p>
          <w:p w14:paraId="630DD145" w14:textId="19BF8E7B" w:rsidR="00417A52" w:rsidRPr="006D5418" w:rsidRDefault="00417A52" w:rsidP="00417A52">
            <w:pPr>
              <w:tabs>
                <w:tab w:val="left" w:pos="11064"/>
              </w:tabs>
            </w:pPr>
            <w:r>
              <w:t xml:space="preserve">Document policy, process and reporting required. </w:t>
            </w:r>
          </w:p>
        </w:tc>
      </w:tr>
      <w:tr w:rsidR="006D5BCF" w:rsidRPr="00414BF2" w14:paraId="1F9FD281" w14:textId="77777777" w:rsidTr="00BC42F2">
        <w:trPr>
          <w:trHeight w:val="484"/>
        </w:trPr>
        <w:tc>
          <w:tcPr>
            <w:tcW w:w="15304" w:type="dxa"/>
            <w:gridSpan w:val="2"/>
            <w:shd w:val="clear" w:color="auto" w:fill="D9D9D9" w:themeFill="background1" w:themeFillShade="D9"/>
          </w:tcPr>
          <w:p w14:paraId="06E0C7E7" w14:textId="77777777" w:rsidR="006D5BCF" w:rsidRDefault="006D5BCF" w:rsidP="006D5BCF">
            <w:pPr>
              <w:tabs>
                <w:tab w:val="left" w:pos="11064"/>
              </w:tabs>
              <w:rPr>
                <w:b/>
                <w:sz w:val="24"/>
                <w:szCs w:val="24"/>
              </w:rPr>
            </w:pPr>
            <w:r>
              <w:rPr>
                <w:b/>
                <w:sz w:val="24"/>
                <w:szCs w:val="24"/>
              </w:rPr>
              <w:t>FA13: Funding</w:t>
            </w:r>
          </w:p>
          <w:p w14:paraId="78619965" w14:textId="77777777" w:rsidR="006D5BCF" w:rsidRDefault="006D5BCF" w:rsidP="006D5BCF">
            <w:pPr>
              <w:tabs>
                <w:tab w:val="left" w:pos="11064"/>
              </w:tabs>
              <w:rPr>
                <w:b/>
                <w:sz w:val="24"/>
                <w:szCs w:val="24"/>
              </w:rPr>
            </w:pPr>
            <w:r w:rsidRPr="004F6BBF">
              <w:rPr>
                <w:rFonts w:cs="Calibri"/>
              </w:rPr>
              <w:t>CNZ (&amp; HPSNZ) to review and refine the funding model to focus on performance and wellbeing. In doing so must consult with all stakeholders and ensure input and athlete engagement</w:t>
            </w:r>
            <w:r>
              <w:rPr>
                <w:rFonts w:cs="Calibri"/>
              </w:rPr>
              <w:t>.</w:t>
            </w:r>
          </w:p>
          <w:p w14:paraId="65DE6399" w14:textId="77777777" w:rsidR="006D5BCF" w:rsidRPr="006D5418" w:rsidRDefault="006D5BCF" w:rsidP="00417A52">
            <w:pPr>
              <w:tabs>
                <w:tab w:val="left" w:pos="11064"/>
              </w:tabs>
            </w:pPr>
          </w:p>
        </w:tc>
      </w:tr>
      <w:tr w:rsidR="006D5BCF" w:rsidRPr="00414BF2" w14:paraId="188C99EB" w14:textId="77777777" w:rsidTr="00BC42F2">
        <w:trPr>
          <w:trHeight w:val="484"/>
        </w:trPr>
        <w:tc>
          <w:tcPr>
            <w:tcW w:w="4673" w:type="dxa"/>
            <w:vMerge w:val="restart"/>
          </w:tcPr>
          <w:p w14:paraId="21196AF3" w14:textId="77777777" w:rsidR="006D5BCF" w:rsidRPr="006D5BCF" w:rsidRDefault="006D5BCF" w:rsidP="006D5BCF">
            <w:pPr>
              <w:tabs>
                <w:tab w:val="left" w:pos="11064"/>
              </w:tabs>
              <w:rPr>
                <w:b/>
                <w:bCs/>
              </w:rPr>
            </w:pPr>
            <w:r w:rsidRPr="006D5BCF">
              <w:rPr>
                <w:b/>
                <w:bCs/>
              </w:rPr>
              <w:t>FA13.1</w:t>
            </w:r>
          </w:p>
          <w:p w14:paraId="37F84A0D" w14:textId="6728AB4A" w:rsidR="006D5BCF" w:rsidRPr="0001598F" w:rsidRDefault="006D5BCF" w:rsidP="006D5BCF">
            <w:pPr>
              <w:tabs>
                <w:tab w:val="left" w:pos="11064"/>
              </w:tabs>
              <w:rPr>
                <w:b/>
                <w:bCs/>
              </w:rPr>
            </w:pPr>
            <w:r w:rsidRPr="00905851">
              <w:t>HPSNZ and CNZ should continue to refine the funding model such that it enables a focus on wellbeing and performance. The solution must be multi-faceted and include consultation with all stakeholders, including athletes and whanau.</w:t>
            </w:r>
          </w:p>
        </w:tc>
        <w:tc>
          <w:tcPr>
            <w:tcW w:w="10631" w:type="dxa"/>
          </w:tcPr>
          <w:p w14:paraId="4B3DAFC3" w14:textId="439EAE42" w:rsidR="006D5BCF" w:rsidRPr="006D5418" w:rsidRDefault="006D5BCF" w:rsidP="006D5BCF">
            <w:pPr>
              <w:tabs>
                <w:tab w:val="left" w:pos="11064"/>
              </w:tabs>
            </w:pPr>
            <w:r w:rsidRPr="00905851">
              <w:t>CNZ to revisit funding model, discuss with HPSNZ and other stakeholders</w:t>
            </w:r>
            <w:r>
              <w:t>.</w:t>
            </w:r>
            <w:r w:rsidRPr="00905851">
              <w:t xml:space="preserve"> </w:t>
            </w:r>
          </w:p>
        </w:tc>
      </w:tr>
      <w:tr w:rsidR="006D5BCF" w:rsidRPr="00414BF2" w14:paraId="678210D2" w14:textId="77777777" w:rsidTr="00BC42F2">
        <w:trPr>
          <w:trHeight w:val="484"/>
        </w:trPr>
        <w:tc>
          <w:tcPr>
            <w:tcW w:w="4673" w:type="dxa"/>
            <w:vMerge/>
          </w:tcPr>
          <w:p w14:paraId="0F0EAD95" w14:textId="77777777" w:rsidR="006D5BCF" w:rsidRPr="0001598F" w:rsidRDefault="006D5BCF" w:rsidP="006D5BCF">
            <w:pPr>
              <w:tabs>
                <w:tab w:val="left" w:pos="11064"/>
              </w:tabs>
              <w:rPr>
                <w:b/>
                <w:bCs/>
              </w:rPr>
            </w:pPr>
          </w:p>
        </w:tc>
        <w:tc>
          <w:tcPr>
            <w:tcW w:w="10631" w:type="dxa"/>
          </w:tcPr>
          <w:p w14:paraId="4125F057" w14:textId="3A0D8CD5" w:rsidR="006D5BCF" w:rsidRPr="006D5418" w:rsidRDefault="006D5BCF" w:rsidP="006D5BCF">
            <w:pPr>
              <w:tabs>
                <w:tab w:val="left" w:pos="11064"/>
              </w:tabs>
            </w:pPr>
            <w:r w:rsidRPr="000A0B0C">
              <w:t xml:space="preserve">Will require (a) Liaison with MO’s, (b) HPSNZ and athletes, (c) consider and advocate for changes. </w:t>
            </w:r>
          </w:p>
        </w:tc>
      </w:tr>
      <w:tr w:rsidR="006D5BCF" w:rsidRPr="00414BF2" w14:paraId="7A9087D1" w14:textId="77777777" w:rsidTr="00BC42F2">
        <w:trPr>
          <w:trHeight w:val="484"/>
        </w:trPr>
        <w:tc>
          <w:tcPr>
            <w:tcW w:w="4673" w:type="dxa"/>
            <w:vMerge/>
          </w:tcPr>
          <w:p w14:paraId="666FB5BA" w14:textId="77777777" w:rsidR="006D5BCF" w:rsidRPr="0001598F" w:rsidRDefault="006D5BCF" w:rsidP="006D5BCF">
            <w:pPr>
              <w:tabs>
                <w:tab w:val="left" w:pos="11064"/>
              </w:tabs>
              <w:rPr>
                <w:b/>
                <w:bCs/>
              </w:rPr>
            </w:pPr>
          </w:p>
        </w:tc>
        <w:tc>
          <w:tcPr>
            <w:tcW w:w="10631" w:type="dxa"/>
          </w:tcPr>
          <w:p w14:paraId="669B9ADA" w14:textId="746F8AD0" w:rsidR="006D5BCF" w:rsidRPr="006D5418" w:rsidRDefault="006D5BCF" w:rsidP="006D5BCF">
            <w:pPr>
              <w:tabs>
                <w:tab w:val="left" w:pos="11064"/>
              </w:tabs>
            </w:pPr>
            <w:r w:rsidRPr="000A0B0C">
              <w:t>CNZ undertaking a Revenue strategy. Aiming to add external revenue – private and philanthropic to the current HP budget.</w:t>
            </w:r>
            <w:r>
              <w:t xml:space="preserve"> </w:t>
            </w:r>
            <w:r w:rsidRPr="000A0B0C">
              <w:t>Investigate support for BMX, Mountain Bike, and Road</w:t>
            </w:r>
          </w:p>
        </w:tc>
      </w:tr>
    </w:tbl>
    <w:p w14:paraId="5D4EDDD7" w14:textId="20ABEC5E" w:rsidR="009655DB" w:rsidRPr="006D5BCF" w:rsidRDefault="009655DB">
      <w:pPr>
        <w:rPr>
          <w:b/>
          <w:bCs/>
        </w:rPr>
      </w:pPr>
    </w:p>
    <w:sectPr w:rsidR="009655DB" w:rsidRPr="006D5BCF" w:rsidSect="00037164">
      <w:footerReference w:type="default" r:id="rId11"/>
      <w:pgSz w:w="16838" w:h="11906" w:orient="landscape" w:code="9"/>
      <w:pgMar w:top="993" w:right="720" w:bottom="1276" w:left="720"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5624" w14:textId="77777777" w:rsidR="00FE2676" w:rsidRDefault="00FE2676" w:rsidP="009655DB">
      <w:pPr>
        <w:spacing w:after="0" w:line="240" w:lineRule="auto"/>
      </w:pPr>
      <w:r>
        <w:separator/>
      </w:r>
    </w:p>
  </w:endnote>
  <w:endnote w:type="continuationSeparator" w:id="0">
    <w:p w14:paraId="08C1BBD8" w14:textId="77777777" w:rsidR="00FE2676" w:rsidRDefault="00FE2676" w:rsidP="0096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58221970"/>
      <w:docPartObj>
        <w:docPartGallery w:val="Page Numbers (Bottom of Page)"/>
        <w:docPartUnique/>
      </w:docPartObj>
    </w:sdtPr>
    <w:sdtEndPr>
      <w:rPr>
        <w:b/>
        <w:bCs/>
        <w:noProof/>
        <w:sz w:val="16"/>
        <w:szCs w:val="16"/>
      </w:rPr>
    </w:sdtEndPr>
    <w:sdtContent>
      <w:p w14:paraId="2D379488" w14:textId="7BF2F7D6" w:rsidR="00414BF2" w:rsidRPr="00414BF2" w:rsidRDefault="00414BF2">
        <w:pPr>
          <w:pStyle w:val="Footer"/>
          <w:jc w:val="right"/>
          <w:rPr>
            <w:b/>
            <w:bCs/>
            <w:color w:val="000000" w:themeColor="text1"/>
            <w:sz w:val="16"/>
            <w:szCs w:val="16"/>
          </w:rPr>
        </w:pPr>
        <w:r w:rsidRPr="00414BF2">
          <w:rPr>
            <w:b/>
            <w:bCs/>
            <w:color w:val="000000" w:themeColor="text1"/>
            <w:sz w:val="16"/>
            <w:szCs w:val="16"/>
          </w:rPr>
          <w:fldChar w:fldCharType="begin"/>
        </w:r>
        <w:r w:rsidRPr="00414BF2">
          <w:rPr>
            <w:b/>
            <w:bCs/>
            <w:color w:val="000000" w:themeColor="text1"/>
            <w:sz w:val="16"/>
            <w:szCs w:val="16"/>
          </w:rPr>
          <w:instrText xml:space="preserve"> PAGE   \* MERGEFORMAT </w:instrText>
        </w:r>
        <w:r w:rsidRPr="00414BF2">
          <w:rPr>
            <w:b/>
            <w:bCs/>
            <w:color w:val="000000" w:themeColor="text1"/>
            <w:sz w:val="16"/>
            <w:szCs w:val="16"/>
          </w:rPr>
          <w:fldChar w:fldCharType="separate"/>
        </w:r>
        <w:r w:rsidRPr="00414BF2">
          <w:rPr>
            <w:b/>
            <w:bCs/>
            <w:noProof/>
            <w:color w:val="000000" w:themeColor="text1"/>
            <w:sz w:val="16"/>
            <w:szCs w:val="16"/>
          </w:rPr>
          <w:t>2</w:t>
        </w:r>
        <w:r w:rsidRPr="00414BF2">
          <w:rPr>
            <w:b/>
            <w:bCs/>
            <w:noProof/>
            <w:color w:val="000000" w:themeColor="text1"/>
            <w:sz w:val="16"/>
            <w:szCs w:val="16"/>
          </w:rPr>
          <w:fldChar w:fldCharType="end"/>
        </w:r>
      </w:p>
    </w:sdtContent>
  </w:sdt>
  <w:p w14:paraId="24B86F29" w14:textId="48A6714C" w:rsidR="009655DB" w:rsidRDefault="0096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EEE5" w14:textId="77777777" w:rsidR="00FE2676" w:rsidRDefault="00FE2676" w:rsidP="009655DB">
      <w:pPr>
        <w:spacing w:after="0" w:line="240" w:lineRule="auto"/>
      </w:pPr>
      <w:r>
        <w:separator/>
      </w:r>
    </w:p>
  </w:footnote>
  <w:footnote w:type="continuationSeparator" w:id="0">
    <w:p w14:paraId="0FFBB12C" w14:textId="77777777" w:rsidR="00FE2676" w:rsidRDefault="00FE2676" w:rsidP="00965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A94"/>
    <w:multiLevelType w:val="hybridMultilevel"/>
    <w:tmpl w:val="4B52FA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370C1"/>
    <w:multiLevelType w:val="hybridMultilevel"/>
    <w:tmpl w:val="B5703A20"/>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915392"/>
    <w:multiLevelType w:val="multilevel"/>
    <w:tmpl w:val="9F203E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D31296"/>
    <w:multiLevelType w:val="hybridMultilevel"/>
    <w:tmpl w:val="D07CB000"/>
    <w:lvl w:ilvl="0" w:tplc="99420DFE">
      <w:start w:val="1"/>
      <w:numFmt w:val="decimal"/>
      <w:lvlText w:val="%1."/>
      <w:lvlJc w:val="left"/>
      <w:pPr>
        <w:ind w:left="389" w:hanging="360"/>
      </w:pPr>
      <w:rPr>
        <w:rFonts w:cs="Times New Roman" w:hint="default"/>
        <w:sz w:val="22"/>
        <w:szCs w:val="22"/>
      </w:rPr>
    </w:lvl>
    <w:lvl w:ilvl="1" w:tplc="FFFFFFFF">
      <w:start w:val="1"/>
      <w:numFmt w:val="lowerLetter"/>
      <w:lvlText w:val="%2."/>
      <w:lvlJc w:val="left"/>
      <w:pPr>
        <w:ind w:left="1109" w:hanging="360"/>
      </w:pPr>
      <w:rPr>
        <w:rFonts w:cs="Times New Roman" w:hint="default"/>
      </w:rPr>
    </w:lvl>
    <w:lvl w:ilvl="2" w:tplc="FFFFFFFF" w:tentative="1">
      <w:start w:val="1"/>
      <w:numFmt w:val="lowerRoman"/>
      <w:lvlText w:val="%3."/>
      <w:lvlJc w:val="right"/>
      <w:pPr>
        <w:ind w:left="1829" w:hanging="180"/>
      </w:pPr>
      <w:rPr>
        <w:rFonts w:cs="Times New Roman"/>
      </w:rPr>
    </w:lvl>
    <w:lvl w:ilvl="3" w:tplc="FFFFFFFF" w:tentative="1">
      <w:start w:val="1"/>
      <w:numFmt w:val="decimal"/>
      <w:lvlText w:val="%4."/>
      <w:lvlJc w:val="left"/>
      <w:pPr>
        <w:ind w:left="2549" w:hanging="360"/>
      </w:pPr>
      <w:rPr>
        <w:rFonts w:cs="Times New Roman"/>
      </w:rPr>
    </w:lvl>
    <w:lvl w:ilvl="4" w:tplc="FFFFFFFF" w:tentative="1">
      <w:start w:val="1"/>
      <w:numFmt w:val="lowerLetter"/>
      <w:lvlText w:val="%5."/>
      <w:lvlJc w:val="left"/>
      <w:pPr>
        <w:ind w:left="3269" w:hanging="360"/>
      </w:pPr>
      <w:rPr>
        <w:rFonts w:cs="Times New Roman"/>
      </w:rPr>
    </w:lvl>
    <w:lvl w:ilvl="5" w:tplc="FFFFFFFF" w:tentative="1">
      <w:start w:val="1"/>
      <w:numFmt w:val="lowerRoman"/>
      <w:lvlText w:val="%6."/>
      <w:lvlJc w:val="right"/>
      <w:pPr>
        <w:ind w:left="3989" w:hanging="180"/>
      </w:pPr>
      <w:rPr>
        <w:rFonts w:cs="Times New Roman"/>
      </w:rPr>
    </w:lvl>
    <w:lvl w:ilvl="6" w:tplc="FFFFFFFF" w:tentative="1">
      <w:start w:val="1"/>
      <w:numFmt w:val="decimal"/>
      <w:lvlText w:val="%7."/>
      <w:lvlJc w:val="left"/>
      <w:pPr>
        <w:ind w:left="4709" w:hanging="360"/>
      </w:pPr>
      <w:rPr>
        <w:rFonts w:cs="Times New Roman"/>
      </w:rPr>
    </w:lvl>
    <w:lvl w:ilvl="7" w:tplc="FFFFFFFF" w:tentative="1">
      <w:start w:val="1"/>
      <w:numFmt w:val="lowerLetter"/>
      <w:lvlText w:val="%8."/>
      <w:lvlJc w:val="left"/>
      <w:pPr>
        <w:ind w:left="5429" w:hanging="360"/>
      </w:pPr>
      <w:rPr>
        <w:rFonts w:cs="Times New Roman"/>
      </w:rPr>
    </w:lvl>
    <w:lvl w:ilvl="8" w:tplc="FFFFFFFF" w:tentative="1">
      <w:start w:val="1"/>
      <w:numFmt w:val="lowerRoman"/>
      <w:lvlText w:val="%9."/>
      <w:lvlJc w:val="right"/>
      <w:pPr>
        <w:ind w:left="6149" w:hanging="180"/>
      </w:pPr>
      <w:rPr>
        <w:rFonts w:cs="Times New Roman"/>
      </w:rPr>
    </w:lvl>
  </w:abstractNum>
  <w:abstractNum w:abstractNumId="4" w15:restartNumberingAfterBreak="0">
    <w:nsid w:val="10F53DC0"/>
    <w:multiLevelType w:val="hybridMultilevel"/>
    <w:tmpl w:val="2C9006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59494B"/>
    <w:multiLevelType w:val="hybridMultilevel"/>
    <w:tmpl w:val="97C0450C"/>
    <w:lvl w:ilvl="0" w:tplc="14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B1B65"/>
    <w:multiLevelType w:val="hybridMultilevel"/>
    <w:tmpl w:val="38F0C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313DC"/>
    <w:multiLevelType w:val="multilevel"/>
    <w:tmpl w:val="386612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1C21C8"/>
    <w:multiLevelType w:val="hybridMultilevel"/>
    <w:tmpl w:val="7F927F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E208D"/>
    <w:multiLevelType w:val="hybridMultilevel"/>
    <w:tmpl w:val="1A6056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5D79B2"/>
    <w:multiLevelType w:val="hybridMultilevel"/>
    <w:tmpl w:val="3F669D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C48EF"/>
    <w:multiLevelType w:val="hybridMultilevel"/>
    <w:tmpl w:val="95D44972"/>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654BB6"/>
    <w:multiLevelType w:val="hybridMultilevel"/>
    <w:tmpl w:val="A5CAE6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9990444"/>
    <w:multiLevelType w:val="hybridMultilevel"/>
    <w:tmpl w:val="1F36D9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A24617"/>
    <w:multiLevelType w:val="hybridMultilevel"/>
    <w:tmpl w:val="E9DE66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553E9C"/>
    <w:multiLevelType w:val="hybridMultilevel"/>
    <w:tmpl w:val="51A6E0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537C6"/>
    <w:multiLevelType w:val="hybridMultilevel"/>
    <w:tmpl w:val="3F669D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C26F21"/>
    <w:multiLevelType w:val="hybridMultilevel"/>
    <w:tmpl w:val="11ECCA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943DC"/>
    <w:multiLevelType w:val="hybridMultilevel"/>
    <w:tmpl w:val="3B64E0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273757"/>
    <w:multiLevelType w:val="hybridMultilevel"/>
    <w:tmpl w:val="06F8AAAC"/>
    <w:lvl w:ilvl="0" w:tplc="003C47B2">
      <w:start w:val="1"/>
      <w:numFmt w:val="lowerRoman"/>
      <w:lvlText w:val="(%1)"/>
      <w:lvlJc w:val="left"/>
      <w:pPr>
        <w:ind w:left="720" w:hanging="360"/>
      </w:pPr>
      <w:rPr>
        <w:rFonts w:asciiTheme="minorHAnsi" w:eastAsia="Times New Roman" w:hAnsiTheme="minorHAnsi" w:cs="Times New Roman"/>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760F49"/>
    <w:multiLevelType w:val="hybridMultilevel"/>
    <w:tmpl w:val="67129186"/>
    <w:lvl w:ilvl="0" w:tplc="88B8661A">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3767732"/>
    <w:multiLevelType w:val="hybridMultilevel"/>
    <w:tmpl w:val="C366B8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907FCA"/>
    <w:multiLevelType w:val="hybridMultilevel"/>
    <w:tmpl w:val="5C4C6C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77533"/>
    <w:multiLevelType w:val="hybridMultilevel"/>
    <w:tmpl w:val="8FBC8E64"/>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E46532C"/>
    <w:multiLevelType w:val="hybridMultilevel"/>
    <w:tmpl w:val="065AE9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949D2"/>
    <w:multiLevelType w:val="hybridMultilevel"/>
    <w:tmpl w:val="E03A8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2F0D1B"/>
    <w:multiLevelType w:val="hybridMultilevel"/>
    <w:tmpl w:val="3A82EE3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6DD4F04"/>
    <w:multiLevelType w:val="hybridMultilevel"/>
    <w:tmpl w:val="69148B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F47BF3"/>
    <w:multiLevelType w:val="hybridMultilevel"/>
    <w:tmpl w:val="BF743E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262884"/>
    <w:multiLevelType w:val="multilevel"/>
    <w:tmpl w:val="17A67E54"/>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0A6D4C"/>
    <w:multiLevelType w:val="hybridMultilevel"/>
    <w:tmpl w:val="1C9269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0E45B1"/>
    <w:multiLevelType w:val="hybridMultilevel"/>
    <w:tmpl w:val="267A97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B15524"/>
    <w:multiLevelType w:val="hybridMultilevel"/>
    <w:tmpl w:val="065AE9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1925BC"/>
    <w:multiLevelType w:val="hybridMultilevel"/>
    <w:tmpl w:val="B67E86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3E2B0C"/>
    <w:multiLevelType w:val="hybridMultilevel"/>
    <w:tmpl w:val="3670B3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E105EC"/>
    <w:multiLevelType w:val="hybridMultilevel"/>
    <w:tmpl w:val="E31EBC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AA4214"/>
    <w:multiLevelType w:val="hybridMultilevel"/>
    <w:tmpl w:val="3990C1EC"/>
    <w:lvl w:ilvl="0" w:tplc="2C401158">
      <w:start w:val="1"/>
      <w:numFmt w:val="decimal"/>
      <w:lvlText w:val="%1."/>
      <w:lvlJc w:val="left"/>
      <w:pPr>
        <w:ind w:left="720"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7F43A8F"/>
    <w:multiLevelType w:val="hybridMultilevel"/>
    <w:tmpl w:val="045CAB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5142B4"/>
    <w:multiLevelType w:val="hybridMultilevel"/>
    <w:tmpl w:val="1C9269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3E2B2C"/>
    <w:multiLevelType w:val="hybridMultilevel"/>
    <w:tmpl w:val="E03A8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B7216"/>
    <w:multiLevelType w:val="hybridMultilevel"/>
    <w:tmpl w:val="9FE8F8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53062A"/>
    <w:multiLevelType w:val="hybridMultilevel"/>
    <w:tmpl w:val="04CC55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177828"/>
    <w:multiLevelType w:val="hybridMultilevel"/>
    <w:tmpl w:val="4DC26F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2373BD"/>
    <w:multiLevelType w:val="hybridMultilevel"/>
    <w:tmpl w:val="BE789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F56A55"/>
    <w:multiLevelType w:val="hybridMultilevel"/>
    <w:tmpl w:val="1C88EA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831F3"/>
    <w:multiLevelType w:val="hybridMultilevel"/>
    <w:tmpl w:val="FFFFFFFF"/>
    <w:lvl w:ilvl="0" w:tplc="B0122456">
      <w:numFmt w:val="bullet"/>
      <w:lvlText w:val="-"/>
      <w:lvlJc w:val="left"/>
      <w:pPr>
        <w:ind w:left="720" w:hanging="360"/>
      </w:pPr>
      <w:rPr>
        <w:rFonts w:ascii="Calibri" w:eastAsia="Times New Roma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0E5089"/>
    <w:multiLevelType w:val="hybridMultilevel"/>
    <w:tmpl w:val="CD40A2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EA49FA"/>
    <w:multiLevelType w:val="hybridMultilevel"/>
    <w:tmpl w:val="C366B8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2492996">
    <w:abstractNumId w:val="19"/>
  </w:num>
  <w:num w:numId="2" w16cid:durableId="809709603">
    <w:abstractNumId w:val="45"/>
  </w:num>
  <w:num w:numId="3" w16cid:durableId="1053696793">
    <w:abstractNumId w:val="3"/>
  </w:num>
  <w:num w:numId="4" w16cid:durableId="427387331">
    <w:abstractNumId w:val="7"/>
  </w:num>
  <w:num w:numId="5" w16cid:durableId="1127092236">
    <w:abstractNumId w:val="2"/>
  </w:num>
  <w:num w:numId="6" w16cid:durableId="671756165">
    <w:abstractNumId w:val="20"/>
  </w:num>
  <w:num w:numId="7" w16cid:durableId="886725786">
    <w:abstractNumId w:val="26"/>
  </w:num>
  <w:num w:numId="8" w16cid:durableId="759566705">
    <w:abstractNumId w:val="14"/>
  </w:num>
  <w:num w:numId="9" w16cid:durableId="393478956">
    <w:abstractNumId w:val="17"/>
  </w:num>
  <w:num w:numId="10" w16cid:durableId="1990818041">
    <w:abstractNumId w:val="42"/>
  </w:num>
  <w:num w:numId="11" w16cid:durableId="404037738">
    <w:abstractNumId w:val="32"/>
  </w:num>
  <w:num w:numId="12" w16cid:durableId="939991103">
    <w:abstractNumId w:val="4"/>
  </w:num>
  <w:num w:numId="13" w16cid:durableId="1140264449">
    <w:abstractNumId w:val="13"/>
  </w:num>
  <w:num w:numId="14" w16cid:durableId="100533746">
    <w:abstractNumId w:val="40"/>
  </w:num>
  <w:num w:numId="15" w16cid:durableId="1456370987">
    <w:abstractNumId w:val="46"/>
  </w:num>
  <w:num w:numId="16" w16cid:durableId="1923365726">
    <w:abstractNumId w:val="9"/>
  </w:num>
  <w:num w:numId="17" w16cid:durableId="1031807633">
    <w:abstractNumId w:val="22"/>
  </w:num>
  <w:num w:numId="18" w16cid:durableId="1470782418">
    <w:abstractNumId w:val="0"/>
  </w:num>
  <w:num w:numId="19" w16cid:durableId="291400879">
    <w:abstractNumId w:val="44"/>
  </w:num>
  <w:num w:numId="20" w16cid:durableId="1938561075">
    <w:abstractNumId w:val="10"/>
  </w:num>
  <w:num w:numId="21" w16cid:durableId="1748767855">
    <w:abstractNumId w:val="12"/>
  </w:num>
  <w:num w:numId="22" w16cid:durableId="346717503">
    <w:abstractNumId w:val="15"/>
  </w:num>
  <w:num w:numId="23" w16cid:durableId="485244975">
    <w:abstractNumId w:val="8"/>
  </w:num>
  <w:num w:numId="24" w16cid:durableId="1552186602">
    <w:abstractNumId w:val="28"/>
  </w:num>
  <w:num w:numId="25" w16cid:durableId="917518747">
    <w:abstractNumId w:val="6"/>
  </w:num>
  <w:num w:numId="26" w16cid:durableId="683748444">
    <w:abstractNumId w:val="41"/>
  </w:num>
  <w:num w:numId="27" w16cid:durableId="1738475965">
    <w:abstractNumId w:val="33"/>
  </w:num>
  <w:num w:numId="28" w16cid:durableId="1277636667">
    <w:abstractNumId w:val="30"/>
  </w:num>
  <w:num w:numId="29" w16cid:durableId="888879195">
    <w:abstractNumId w:val="38"/>
  </w:num>
  <w:num w:numId="30" w16cid:durableId="1770002611">
    <w:abstractNumId w:val="23"/>
  </w:num>
  <w:num w:numId="31" w16cid:durableId="335424821">
    <w:abstractNumId w:val="27"/>
  </w:num>
  <w:num w:numId="32" w16cid:durableId="874999769">
    <w:abstractNumId w:val="37"/>
  </w:num>
  <w:num w:numId="33" w16cid:durableId="490830152">
    <w:abstractNumId w:val="34"/>
  </w:num>
  <w:num w:numId="34" w16cid:durableId="604657208">
    <w:abstractNumId w:val="18"/>
  </w:num>
  <w:num w:numId="35" w16cid:durableId="1893226470">
    <w:abstractNumId w:val="43"/>
  </w:num>
  <w:num w:numId="36" w16cid:durableId="1831166700">
    <w:abstractNumId w:val="31"/>
  </w:num>
  <w:num w:numId="37" w16cid:durableId="1582526366">
    <w:abstractNumId w:val="35"/>
  </w:num>
  <w:num w:numId="38" w16cid:durableId="1118523489">
    <w:abstractNumId w:val="47"/>
  </w:num>
  <w:num w:numId="39" w16cid:durableId="36272798">
    <w:abstractNumId w:val="21"/>
  </w:num>
  <w:num w:numId="40" w16cid:durableId="605425450">
    <w:abstractNumId w:val="1"/>
  </w:num>
  <w:num w:numId="41" w16cid:durableId="1960722428">
    <w:abstractNumId w:val="39"/>
  </w:num>
  <w:num w:numId="42" w16cid:durableId="1283541268">
    <w:abstractNumId w:val="25"/>
  </w:num>
  <w:num w:numId="43" w16cid:durableId="815562634">
    <w:abstractNumId w:val="11"/>
  </w:num>
  <w:num w:numId="44" w16cid:durableId="1616475973">
    <w:abstractNumId w:val="16"/>
  </w:num>
  <w:num w:numId="45" w16cid:durableId="2015641268">
    <w:abstractNumId w:val="36"/>
  </w:num>
  <w:num w:numId="46" w16cid:durableId="269629856">
    <w:abstractNumId w:val="24"/>
  </w:num>
  <w:num w:numId="47" w16cid:durableId="1999725814">
    <w:abstractNumId w:val="29"/>
  </w:num>
  <w:num w:numId="48" w16cid:durableId="10272528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DB"/>
    <w:rsid w:val="0000673A"/>
    <w:rsid w:val="0001598F"/>
    <w:rsid w:val="00023777"/>
    <w:rsid w:val="0002481C"/>
    <w:rsid w:val="00025209"/>
    <w:rsid w:val="00032C9F"/>
    <w:rsid w:val="00036892"/>
    <w:rsid w:val="000369C4"/>
    <w:rsid w:val="00036B32"/>
    <w:rsid w:val="00037164"/>
    <w:rsid w:val="00046002"/>
    <w:rsid w:val="000670BC"/>
    <w:rsid w:val="000820AA"/>
    <w:rsid w:val="00092154"/>
    <w:rsid w:val="00096129"/>
    <w:rsid w:val="000A0B0C"/>
    <w:rsid w:val="000A2F11"/>
    <w:rsid w:val="000B2086"/>
    <w:rsid w:val="000B31FD"/>
    <w:rsid w:val="000D682E"/>
    <w:rsid w:val="000F2705"/>
    <w:rsid w:val="000F7F8D"/>
    <w:rsid w:val="001011B0"/>
    <w:rsid w:val="00114657"/>
    <w:rsid w:val="001357F7"/>
    <w:rsid w:val="0014093F"/>
    <w:rsid w:val="001413DB"/>
    <w:rsid w:val="001524A6"/>
    <w:rsid w:val="00154F43"/>
    <w:rsid w:val="001574E9"/>
    <w:rsid w:val="00185BCE"/>
    <w:rsid w:val="00195CA7"/>
    <w:rsid w:val="001A23D3"/>
    <w:rsid w:val="001B328C"/>
    <w:rsid w:val="001B5B2D"/>
    <w:rsid w:val="001D546A"/>
    <w:rsid w:val="001E2301"/>
    <w:rsid w:val="001E2F3C"/>
    <w:rsid w:val="001E49E8"/>
    <w:rsid w:val="001E68E1"/>
    <w:rsid w:val="001F0D68"/>
    <w:rsid w:val="001F712A"/>
    <w:rsid w:val="0021353F"/>
    <w:rsid w:val="002148C7"/>
    <w:rsid w:val="002343BE"/>
    <w:rsid w:val="0023625A"/>
    <w:rsid w:val="00245965"/>
    <w:rsid w:val="00246244"/>
    <w:rsid w:val="00271619"/>
    <w:rsid w:val="00295D79"/>
    <w:rsid w:val="0029607B"/>
    <w:rsid w:val="002C2DB5"/>
    <w:rsid w:val="002C774D"/>
    <w:rsid w:val="002D14EC"/>
    <w:rsid w:val="002D6DD0"/>
    <w:rsid w:val="002E6722"/>
    <w:rsid w:val="00310184"/>
    <w:rsid w:val="003263EB"/>
    <w:rsid w:val="00327B6B"/>
    <w:rsid w:val="00347BF3"/>
    <w:rsid w:val="0035076A"/>
    <w:rsid w:val="003508B8"/>
    <w:rsid w:val="00355573"/>
    <w:rsid w:val="003572FF"/>
    <w:rsid w:val="00357D2F"/>
    <w:rsid w:val="00366933"/>
    <w:rsid w:val="00376CE4"/>
    <w:rsid w:val="00396EA6"/>
    <w:rsid w:val="003A1C6A"/>
    <w:rsid w:val="003B0291"/>
    <w:rsid w:val="003C15C8"/>
    <w:rsid w:val="003D7D23"/>
    <w:rsid w:val="003E1E04"/>
    <w:rsid w:val="003E3969"/>
    <w:rsid w:val="003E4EE2"/>
    <w:rsid w:val="003E7584"/>
    <w:rsid w:val="00400CFA"/>
    <w:rsid w:val="00414BF2"/>
    <w:rsid w:val="00417A52"/>
    <w:rsid w:val="00425635"/>
    <w:rsid w:val="00434DBF"/>
    <w:rsid w:val="00450332"/>
    <w:rsid w:val="00451361"/>
    <w:rsid w:val="00467D9B"/>
    <w:rsid w:val="00492CED"/>
    <w:rsid w:val="00495378"/>
    <w:rsid w:val="004A052B"/>
    <w:rsid w:val="004A6377"/>
    <w:rsid w:val="004C3E21"/>
    <w:rsid w:val="004D34FE"/>
    <w:rsid w:val="004D4F75"/>
    <w:rsid w:val="004F29D7"/>
    <w:rsid w:val="004F43F6"/>
    <w:rsid w:val="005040DE"/>
    <w:rsid w:val="005067BE"/>
    <w:rsid w:val="005073A2"/>
    <w:rsid w:val="00533224"/>
    <w:rsid w:val="00573343"/>
    <w:rsid w:val="00596325"/>
    <w:rsid w:val="005A2903"/>
    <w:rsid w:val="005B0090"/>
    <w:rsid w:val="005B1F4E"/>
    <w:rsid w:val="005B2B5B"/>
    <w:rsid w:val="005C2302"/>
    <w:rsid w:val="005D065D"/>
    <w:rsid w:val="005D360F"/>
    <w:rsid w:val="006116C9"/>
    <w:rsid w:val="00627E3E"/>
    <w:rsid w:val="00633630"/>
    <w:rsid w:val="00651E03"/>
    <w:rsid w:val="00655609"/>
    <w:rsid w:val="00667583"/>
    <w:rsid w:val="00677BCF"/>
    <w:rsid w:val="006A21C5"/>
    <w:rsid w:val="006A378C"/>
    <w:rsid w:val="006B2296"/>
    <w:rsid w:val="006B56F0"/>
    <w:rsid w:val="006D5418"/>
    <w:rsid w:val="006D5BCF"/>
    <w:rsid w:val="006D6E88"/>
    <w:rsid w:val="006F3AAD"/>
    <w:rsid w:val="00710079"/>
    <w:rsid w:val="00712CDB"/>
    <w:rsid w:val="00713616"/>
    <w:rsid w:val="00714DA5"/>
    <w:rsid w:val="00725A9E"/>
    <w:rsid w:val="0073412D"/>
    <w:rsid w:val="007468B6"/>
    <w:rsid w:val="00776C4A"/>
    <w:rsid w:val="007827C2"/>
    <w:rsid w:val="0079322C"/>
    <w:rsid w:val="007D496A"/>
    <w:rsid w:val="007E6CC2"/>
    <w:rsid w:val="007F59B3"/>
    <w:rsid w:val="007F59CB"/>
    <w:rsid w:val="0080358E"/>
    <w:rsid w:val="00814CDC"/>
    <w:rsid w:val="00822CA7"/>
    <w:rsid w:val="00827308"/>
    <w:rsid w:val="00855CD7"/>
    <w:rsid w:val="008661D4"/>
    <w:rsid w:val="0087108E"/>
    <w:rsid w:val="00871EA4"/>
    <w:rsid w:val="00873041"/>
    <w:rsid w:val="00875543"/>
    <w:rsid w:val="00876AE2"/>
    <w:rsid w:val="0088037C"/>
    <w:rsid w:val="0088144C"/>
    <w:rsid w:val="00895CBE"/>
    <w:rsid w:val="008B4504"/>
    <w:rsid w:val="008B60AB"/>
    <w:rsid w:val="008C36E3"/>
    <w:rsid w:val="008C51FB"/>
    <w:rsid w:val="008D50A5"/>
    <w:rsid w:val="008E00E9"/>
    <w:rsid w:val="008F1227"/>
    <w:rsid w:val="00904B88"/>
    <w:rsid w:val="00905851"/>
    <w:rsid w:val="0090646A"/>
    <w:rsid w:val="00926330"/>
    <w:rsid w:val="00945DE1"/>
    <w:rsid w:val="009655DB"/>
    <w:rsid w:val="009707D7"/>
    <w:rsid w:val="00972A82"/>
    <w:rsid w:val="00977E3C"/>
    <w:rsid w:val="00991626"/>
    <w:rsid w:val="00993BB9"/>
    <w:rsid w:val="009A13B8"/>
    <w:rsid w:val="009A166D"/>
    <w:rsid w:val="009A7194"/>
    <w:rsid w:val="009C25AA"/>
    <w:rsid w:val="009C5F0C"/>
    <w:rsid w:val="009E12AE"/>
    <w:rsid w:val="009F4BB2"/>
    <w:rsid w:val="00A21277"/>
    <w:rsid w:val="00A3735D"/>
    <w:rsid w:val="00A40DD1"/>
    <w:rsid w:val="00A56AF7"/>
    <w:rsid w:val="00A754EC"/>
    <w:rsid w:val="00A95F31"/>
    <w:rsid w:val="00AA09FB"/>
    <w:rsid w:val="00AB2636"/>
    <w:rsid w:val="00AB297F"/>
    <w:rsid w:val="00AB44BE"/>
    <w:rsid w:val="00AC41A8"/>
    <w:rsid w:val="00AD25E1"/>
    <w:rsid w:val="00AD7E40"/>
    <w:rsid w:val="00AF7010"/>
    <w:rsid w:val="00AF73A9"/>
    <w:rsid w:val="00B01F1B"/>
    <w:rsid w:val="00B32F35"/>
    <w:rsid w:val="00B57D1A"/>
    <w:rsid w:val="00B63F0D"/>
    <w:rsid w:val="00B751F7"/>
    <w:rsid w:val="00B76477"/>
    <w:rsid w:val="00B92BE3"/>
    <w:rsid w:val="00B949D2"/>
    <w:rsid w:val="00BA098B"/>
    <w:rsid w:val="00BA0CFF"/>
    <w:rsid w:val="00BA2B43"/>
    <w:rsid w:val="00BC1FF9"/>
    <w:rsid w:val="00BC42F2"/>
    <w:rsid w:val="00BC66DF"/>
    <w:rsid w:val="00BD0614"/>
    <w:rsid w:val="00BD7D5E"/>
    <w:rsid w:val="00BE6BB3"/>
    <w:rsid w:val="00BE6F66"/>
    <w:rsid w:val="00C057E2"/>
    <w:rsid w:val="00C10BF5"/>
    <w:rsid w:val="00C1122B"/>
    <w:rsid w:val="00C27C0E"/>
    <w:rsid w:val="00C46681"/>
    <w:rsid w:val="00C545C3"/>
    <w:rsid w:val="00C60058"/>
    <w:rsid w:val="00C6493C"/>
    <w:rsid w:val="00C704FB"/>
    <w:rsid w:val="00C9630C"/>
    <w:rsid w:val="00CA12F2"/>
    <w:rsid w:val="00CA16A2"/>
    <w:rsid w:val="00CA412E"/>
    <w:rsid w:val="00CA4F3E"/>
    <w:rsid w:val="00CA5E8E"/>
    <w:rsid w:val="00CB1CB0"/>
    <w:rsid w:val="00CB5D4E"/>
    <w:rsid w:val="00CE21AA"/>
    <w:rsid w:val="00D17D5E"/>
    <w:rsid w:val="00D219AD"/>
    <w:rsid w:val="00D57BB6"/>
    <w:rsid w:val="00D61619"/>
    <w:rsid w:val="00D80803"/>
    <w:rsid w:val="00D85E93"/>
    <w:rsid w:val="00D8644B"/>
    <w:rsid w:val="00D93E4C"/>
    <w:rsid w:val="00DA305B"/>
    <w:rsid w:val="00DC1214"/>
    <w:rsid w:val="00DE5427"/>
    <w:rsid w:val="00E22E20"/>
    <w:rsid w:val="00E62292"/>
    <w:rsid w:val="00E65139"/>
    <w:rsid w:val="00E8198A"/>
    <w:rsid w:val="00E873CD"/>
    <w:rsid w:val="00E9520F"/>
    <w:rsid w:val="00E96F0F"/>
    <w:rsid w:val="00EC2F81"/>
    <w:rsid w:val="00ED22B7"/>
    <w:rsid w:val="00EE6A16"/>
    <w:rsid w:val="00EF0275"/>
    <w:rsid w:val="00F32D11"/>
    <w:rsid w:val="00F404A2"/>
    <w:rsid w:val="00F47668"/>
    <w:rsid w:val="00F5224F"/>
    <w:rsid w:val="00F5583C"/>
    <w:rsid w:val="00F5693D"/>
    <w:rsid w:val="00F6303C"/>
    <w:rsid w:val="00F71B9B"/>
    <w:rsid w:val="00F77031"/>
    <w:rsid w:val="00F81736"/>
    <w:rsid w:val="00F90477"/>
    <w:rsid w:val="00F923E7"/>
    <w:rsid w:val="00FA2E9E"/>
    <w:rsid w:val="00FA4B07"/>
    <w:rsid w:val="00FC6559"/>
    <w:rsid w:val="00FD1BB5"/>
    <w:rsid w:val="00FE2676"/>
    <w:rsid w:val="00FF48BC"/>
    <w:rsid w:val="15473065"/>
    <w:rsid w:val="4CE4E4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21DD4"/>
  <w15:chartTrackingRefBased/>
  <w15:docId w15:val="{B1F8C70C-A899-4FD5-9610-05B36BF6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4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DB"/>
  </w:style>
  <w:style w:type="paragraph" w:styleId="Footer">
    <w:name w:val="footer"/>
    <w:basedOn w:val="Normal"/>
    <w:link w:val="FooterChar"/>
    <w:uiPriority w:val="99"/>
    <w:unhideWhenUsed/>
    <w:rsid w:val="00965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DB"/>
  </w:style>
  <w:style w:type="paragraph" w:styleId="ListParagraph">
    <w:name w:val="List Paragraph"/>
    <w:basedOn w:val="Normal"/>
    <w:uiPriority w:val="34"/>
    <w:qFormat/>
    <w:rsid w:val="009655DB"/>
    <w:pPr>
      <w:ind w:left="720"/>
      <w:contextualSpacing/>
    </w:pPr>
  </w:style>
  <w:style w:type="table" w:styleId="TableGrid">
    <w:name w:val="Table Grid"/>
    <w:basedOn w:val="TableNormal"/>
    <w:uiPriority w:val="39"/>
    <w:rsid w:val="00414BF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C6A"/>
    <w:rPr>
      <w:sz w:val="16"/>
      <w:szCs w:val="16"/>
    </w:rPr>
  </w:style>
  <w:style w:type="paragraph" w:styleId="CommentText">
    <w:name w:val="annotation text"/>
    <w:basedOn w:val="Normal"/>
    <w:link w:val="CommentTextChar"/>
    <w:uiPriority w:val="99"/>
    <w:unhideWhenUsed/>
    <w:rsid w:val="003A1C6A"/>
    <w:pPr>
      <w:spacing w:line="240" w:lineRule="auto"/>
    </w:pPr>
    <w:rPr>
      <w:sz w:val="20"/>
      <w:szCs w:val="20"/>
    </w:rPr>
  </w:style>
  <w:style w:type="character" w:customStyle="1" w:styleId="CommentTextChar">
    <w:name w:val="Comment Text Char"/>
    <w:basedOn w:val="DefaultParagraphFont"/>
    <w:link w:val="CommentText"/>
    <w:uiPriority w:val="99"/>
    <w:rsid w:val="003A1C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1C6A"/>
    <w:rPr>
      <w:b/>
      <w:bCs/>
    </w:rPr>
  </w:style>
  <w:style w:type="character" w:customStyle="1" w:styleId="CommentSubjectChar">
    <w:name w:val="Comment Subject Char"/>
    <w:basedOn w:val="CommentTextChar"/>
    <w:link w:val="CommentSubject"/>
    <w:uiPriority w:val="99"/>
    <w:semiHidden/>
    <w:rsid w:val="003A1C6A"/>
    <w:rPr>
      <w:rFonts w:eastAsia="Times New Roman" w:cs="Times New Roman"/>
      <w:b/>
      <w:bCs/>
      <w:sz w:val="20"/>
      <w:szCs w:val="20"/>
    </w:rPr>
  </w:style>
  <w:style w:type="paragraph" w:styleId="NoSpacing">
    <w:name w:val="No Spacing"/>
    <w:uiPriority w:val="1"/>
    <w:qFormat/>
    <w:rsid w:val="003D7D23"/>
    <w:pPr>
      <w:spacing w:after="0" w:line="240" w:lineRule="auto"/>
    </w:pPr>
    <w:rPr>
      <w:rFonts w:eastAsia="Times New Roman" w:cs="Times New Roman"/>
    </w:rPr>
  </w:style>
  <w:style w:type="paragraph" w:customStyle="1" w:styleId="paragraph">
    <w:name w:val="paragraph"/>
    <w:basedOn w:val="Normal"/>
    <w:rsid w:val="0014093F"/>
    <w:pPr>
      <w:spacing w:before="100" w:beforeAutospacing="1" w:after="100" w:afterAutospacing="1" w:line="240" w:lineRule="auto"/>
    </w:pPr>
    <w:rPr>
      <w:rFonts w:ascii="Times New Roman" w:hAnsi="Times New Roman"/>
      <w:sz w:val="24"/>
      <w:szCs w:val="24"/>
      <w:lang w:eastAsia="en-NZ"/>
    </w:rPr>
  </w:style>
  <w:style w:type="character" w:customStyle="1" w:styleId="normaltextrun">
    <w:name w:val="normaltextrun"/>
    <w:basedOn w:val="DefaultParagraphFont"/>
    <w:rsid w:val="0014093F"/>
  </w:style>
  <w:style w:type="character" w:customStyle="1" w:styleId="eop">
    <w:name w:val="eop"/>
    <w:basedOn w:val="DefaultParagraphFont"/>
    <w:rsid w:val="0014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8900">
      <w:bodyDiv w:val="1"/>
      <w:marLeft w:val="0"/>
      <w:marRight w:val="0"/>
      <w:marTop w:val="0"/>
      <w:marBottom w:val="0"/>
      <w:divBdr>
        <w:top w:val="none" w:sz="0" w:space="0" w:color="auto"/>
        <w:left w:val="none" w:sz="0" w:space="0" w:color="auto"/>
        <w:bottom w:val="none" w:sz="0" w:space="0" w:color="auto"/>
        <w:right w:val="none" w:sz="0" w:space="0" w:color="auto"/>
      </w:divBdr>
      <w:divsChild>
        <w:div w:id="419375766">
          <w:marLeft w:val="0"/>
          <w:marRight w:val="0"/>
          <w:marTop w:val="0"/>
          <w:marBottom w:val="0"/>
          <w:divBdr>
            <w:top w:val="none" w:sz="0" w:space="0" w:color="auto"/>
            <w:left w:val="none" w:sz="0" w:space="0" w:color="auto"/>
            <w:bottom w:val="none" w:sz="0" w:space="0" w:color="auto"/>
            <w:right w:val="none" w:sz="0" w:space="0" w:color="auto"/>
          </w:divBdr>
        </w:div>
        <w:div w:id="1499687514">
          <w:marLeft w:val="0"/>
          <w:marRight w:val="0"/>
          <w:marTop w:val="0"/>
          <w:marBottom w:val="0"/>
          <w:divBdr>
            <w:top w:val="none" w:sz="0" w:space="0" w:color="auto"/>
            <w:left w:val="none" w:sz="0" w:space="0" w:color="auto"/>
            <w:bottom w:val="none" w:sz="0" w:space="0" w:color="auto"/>
            <w:right w:val="none" w:sz="0" w:space="0" w:color="auto"/>
          </w:divBdr>
        </w:div>
      </w:divsChild>
    </w:div>
    <w:div w:id="888372498">
      <w:bodyDiv w:val="1"/>
      <w:marLeft w:val="0"/>
      <w:marRight w:val="0"/>
      <w:marTop w:val="0"/>
      <w:marBottom w:val="0"/>
      <w:divBdr>
        <w:top w:val="none" w:sz="0" w:space="0" w:color="auto"/>
        <w:left w:val="none" w:sz="0" w:space="0" w:color="auto"/>
        <w:bottom w:val="none" w:sz="0" w:space="0" w:color="auto"/>
        <w:right w:val="none" w:sz="0" w:space="0" w:color="auto"/>
      </w:divBdr>
      <w:divsChild>
        <w:div w:id="485170460">
          <w:marLeft w:val="0"/>
          <w:marRight w:val="0"/>
          <w:marTop w:val="0"/>
          <w:marBottom w:val="0"/>
          <w:divBdr>
            <w:top w:val="none" w:sz="0" w:space="0" w:color="auto"/>
            <w:left w:val="none" w:sz="0" w:space="0" w:color="auto"/>
            <w:bottom w:val="none" w:sz="0" w:space="0" w:color="auto"/>
            <w:right w:val="none" w:sz="0" w:space="0" w:color="auto"/>
          </w:divBdr>
        </w:div>
        <w:div w:id="1379863190">
          <w:marLeft w:val="0"/>
          <w:marRight w:val="0"/>
          <w:marTop w:val="0"/>
          <w:marBottom w:val="0"/>
          <w:divBdr>
            <w:top w:val="none" w:sz="0" w:space="0" w:color="auto"/>
            <w:left w:val="none" w:sz="0" w:space="0" w:color="auto"/>
            <w:bottom w:val="none" w:sz="0" w:space="0" w:color="auto"/>
            <w:right w:val="none" w:sz="0" w:space="0" w:color="auto"/>
          </w:divBdr>
        </w:div>
      </w:divsChild>
    </w:div>
    <w:div w:id="1178808722">
      <w:bodyDiv w:val="1"/>
      <w:marLeft w:val="0"/>
      <w:marRight w:val="0"/>
      <w:marTop w:val="0"/>
      <w:marBottom w:val="0"/>
      <w:divBdr>
        <w:top w:val="none" w:sz="0" w:space="0" w:color="auto"/>
        <w:left w:val="none" w:sz="0" w:space="0" w:color="auto"/>
        <w:bottom w:val="none" w:sz="0" w:space="0" w:color="auto"/>
        <w:right w:val="none" w:sz="0" w:space="0" w:color="auto"/>
      </w:divBdr>
      <w:divsChild>
        <w:div w:id="128477340">
          <w:marLeft w:val="0"/>
          <w:marRight w:val="0"/>
          <w:marTop w:val="0"/>
          <w:marBottom w:val="0"/>
          <w:divBdr>
            <w:top w:val="none" w:sz="0" w:space="0" w:color="auto"/>
            <w:left w:val="none" w:sz="0" w:space="0" w:color="auto"/>
            <w:bottom w:val="none" w:sz="0" w:space="0" w:color="auto"/>
            <w:right w:val="none" w:sz="0" w:space="0" w:color="auto"/>
          </w:divBdr>
          <w:divsChild>
            <w:div w:id="1324703176">
              <w:marLeft w:val="0"/>
              <w:marRight w:val="0"/>
              <w:marTop w:val="0"/>
              <w:marBottom w:val="0"/>
              <w:divBdr>
                <w:top w:val="none" w:sz="0" w:space="0" w:color="auto"/>
                <w:left w:val="none" w:sz="0" w:space="0" w:color="auto"/>
                <w:bottom w:val="none" w:sz="0" w:space="0" w:color="auto"/>
                <w:right w:val="none" w:sz="0" w:space="0" w:color="auto"/>
              </w:divBdr>
            </w:div>
          </w:divsChild>
        </w:div>
        <w:div w:id="246962097">
          <w:marLeft w:val="0"/>
          <w:marRight w:val="0"/>
          <w:marTop w:val="0"/>
          <w:marBottom w:val="0"/>
          <w:divBdr>
            <w:top w:val="none" w:sz="0" w:space="0" w:color="auto"/>
            <w:left w:val="none" w:sz="0" w:space="0" w:color="auto"/>
            <w:bottom w:val="none" w:sz="0" w:space="0" w:color="auto"/>
            <w:right w:val="none" w:sz="0" w:space="0" w:color="auto"/>
          </w:divBdr>
          <w:divsChild>
            <w:div w:id="1505972386">
              <w:marLeft w:val="0"/>
              <w:marRight w:val="0"/>
              <w:marTop w:val="0"/>
              <w:marBottom w:val="0"/>
              <w:divBdr>
                <w:top w:val="none" w:sz="0" w:space="0" w:color="auto"/>
                <w:left w:val="none" w:sz="0" w:space="0" w:color="auto"/>
                <w:bottom w:val="none" w:sz="0" w:space="0" w:color="auto"/>
                <w:right w:val="none" w:sz="0" w:space="0" w:color="auto"/>
              </w:divBdr>
            </w:div>
          </w:divsChild>
        </w:div>
        <w:div w:id="1592932921">
          <w:marLeft w:val="0"/>
          <w:marRight w:val="0"/>
          <w:marTop w:val="0"/>
          <w:marBottom w:val="0"/>
          <w:divBdr>
            <w:top w:val="none" w:sz="0" w:space="0" w:color="auto"/>
            <w:left w:val="none" w:sz="0" w:space="0" w:color="auto"/>
            <w:bottom w:val="none" w:sz="0" w:space="0" w:color="auto"/>
            <w:right w:val="none" w:sz="0" w:space="0" w:color="auto"/>
          </w:divBdr>
          <w:divsChild>
            <w:div w:id="1401901206">
              <w:marLeft w:val="0"/>
              <w:marRight w:val="0"/>
              <w:marTop w:val="0"/>
              <w:marBottom w:val="0"/>
              <w:divBdr>
                <w:top w:val="none" w:sz="0" w:space="0" w:color="auto"/>
                <w:left w:val="none" w:sz="0" w:space="0" w:color="auto"/>
                <w:bottom w:val="none" w:sz="0" w:space="0" w:color="auto"/>
                <w:right w:val="none" w:sz="0" w:space="0" w:color="auto"/>
              </w:divBdr>
            </w:div>
          </w:divsChild>
        </w:div>
        <w:div w:id="1143042112">
          <w:marLeft w:val="0"/>
          <w:marRight w:val="0"/>
          <w:marTop w:val="0"/>
          <w:marBottom w:val="0"/>
          <w:divBdr>
            <w:top w:val="none" w:sz="0" w:space="0" w:color="auto"/>
            <w:left w:val="none" w:sz="0" w:space="0" w:color="auto"/>
            <w:bottom w:val="none" w:sz="0" w:space="0" w:color="auto"/>
            <w:right w:val="none" w:sz="0" w:space="0" w:color="auto"/>
          </w:divBdr>
          <w:divsChild>
            <w:div w:id="914751613">
              <w:marLeft w:val="0"/>
              <w:marRight w:val="0"/>
              <w:marTop w:val="0"/>
              <w:marBottom w:val="0"/>
              <w:divBdr>
                <w:top w:val="none" w:sz="0" w:space="0" w:color="auto"/>
                <w:left w:val="none" w:sz="0" w:space="0" w:color="auto"/>
                <w:bottom w:val="none" w:sz="0" w:space="0" w:color="auto"/>
                <w:right w:val="none" w:sz="0" w:space="0" w:color="auto"/>
              </w:divBdr>
            </w:div>
          </w:divsChild>
        </w:div>
        <w:div w:id="1330208511">
          <w:marLeft w:val="0"/>
          <w:marRight w:val="0"/>
          <w:marTop w:val="0"/>
          <w:marBottom w:val="0"/>
          <w:divBdr>
            <w:top w:val="none" w:sz="0" w:space="0" w:color="auto"/>
            <w:left w:val="none" w:sz="0" w:space="0" w:color="auto"/>
            <w:bottom w:val="none" w:sz="0" w:space="0" w:color="auto"/>
            <w:right w:val="none" w:sz="0" w:space="0" w:color="auto"/>
          </w:divBdr>
          <w:divsChild>
            <w:div w:id="15826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8110">
      <w:bodyDiv w:val="1"/>
      <w:marLeft w:val="0"/>
      <w:marRight w:val="0"/>
      <w:marTop w:val="0"/>
      <w:marBottom w:val="0"/>
      <w:divBdr>
        <w:top w:val="none" w:sz="0" w:space="0" w:color="auto"/>
        <w:left w:val="none" w:sz="0" w:space="0" w:color="auto"/>
        <w:bottom w:val="none" w:sz="0" w:space="0" w:color="auto"/>
        <w:right w:val="none" w:sz="0" w:space="0" w:color="auto"/>
      </w:divBdr>
      <w:divsChild>
        <w:div w:id="1437094329">
          <w:marLeft w:val="0"/>
          <w:marRight w:val="0"/>
          <w:marTop w:val="0"/>
          <w:marBottom w:val="0"/>
          <w:divBdr>
            <w:top w:val="none" w:sz="0" w:space="0" w:color="auto"/>
            <w:left w:val="none" w:sz="0" w:space="0" w:color="auto"/>
            <w:bottom w:val="none" w:sz="0" w:space="0" w:color="auto"/>
            <w:right w:val="none" w:sz="0" w:space="0" w:color="auto"/>
          </w:divBdr>
        </w:div>
        <w:div w:id="1204749731">
          <w:marLeft w:val="0"/>
          <w:marRight w:val="0"/>
          <w:marTop w:val="0"/>
          <w:marBottom w:val="0"/>
          <w:divBdr>
            <w:top w:val="none" w:sz="0" w:space="0" w:color="auto"/>
            <w:left w:val="none" w:sz="0" w:space="0" w:color="auto"/>
            <w:bottom w:val="none" w:sz="0" w:space="0" w:color="auto"/>
            <w:right w:val="none" w:sz="0" w:space="0" w:color="auto"/>
          </w:divBdr>
        </w:div>
      </w:divsChild>
    </w:div>
    <w:div w:id="1415665813">
      <w:bodyDiv w:val="1"/>
      <w:marLeft w:val="0"/>
      <w:marRight w:val="0"/>
      <w:marTop w:val="0"/>
      <w:marBottom w:val="0"/>
      <w:divBdr>
        <w:top w:val="none" w:sz="0" w:space="0" w:color="auto"/>
        <w:left w:val="none" w:sz="0" w:space="0" w:color="auto"/>
        <w:bottom w:val="none" w:sz="0" w:space="0" w:color="auto"/>
        <w:right w:val="none" w:sz="0" w:space="0" w:color="auto"/>
      </w:divBdr>
    </w:div>
    <w:div w:id="1450471092">
      <w:bodyDiv w:val="1"/>
      <w:marLeft w:val="0"/>
      <w:marRight w:val="0"/>
      <w:marTop w:val="0"/>
      <w:marBottom w:val="0"/>
      <w:divBdr>
        <w:top w:val="none" w:sz="0" w:space="0" w:color="auto"/>
        <w:left w:val="none" w:sz="0" w:space="0" w:color="auto"/>
        <w:bottom w:val="none" w:sz="0" w:space="0" w:color="auto"/>
        <w:right w:val="none" w:sz="0" w:space="0" w:color="auto"/>
      </w:divBdr>
      <w:divsChild>
        <w:div w:id="1521971663">
          <w:marLeft w:val="0"/>
          <w:marRight w:val="0"/>
          <w:marTop w:val="0"/>
          <w:marBottom w:val="0"/>
          <w:divBdr>
            <w:top w:val="none" w:sz="0" w:space="0" w:color="auto"/>
            <w:left w:val="none" w:sz="0" w:space="0" w:color="auto"/>
            <w:bottom w:val="none" w:sz="0" w:space="0" w:color="auto"/>
            <w:right w:val="none" w:sz="0" w:space="0" w:color="auto"/>
          </w:divBdr>
        </w:div>
        <w:div w:id="1202859984">
          <w:marLeft w:val="0"/>
          <w:marRight w:val="0"/>
          <w:marTop w:val="0"/>
          <w:marBottom w:val="0"/>
          <w:divBdr>
            <w:top w:val="none" w:sz="0" w:space="0" w:color="auto"/>
            <w:left w:val="none" w:sz="0" w:space="0" w:color="auto"/>
            <w:bottom w:val="none" w:sz="0" w:space="0" w:color="auto"/>
            <w:right w:val="none" w:sz="0" w:space="0" w:color="auto"/>
          </w:divBdr>
        </w:div>
        <w:div w:id="1304232415">
          <w:marLeft w:val="0"/>
          <w:marRight w:val="0"/>
          <w:marTop w:val="0"/>
          <w:marBottom w:val="0"/>
          <w:divBdr>
            <w:top w:val="none" w:sz="0" w:space="0" w:color="auto"/>
            <w:left w:val="none" w:sz="0" w:space="0" w:color="auto"/>
            <w:bottom w:val="none" w:sz="0" w:space="0" w:color="auto"/>
            <w:right w:val="none" w:sz="0" w:space="0" w:color="auto"/>
          </w:divBdr>
        </w:div>
        <w:div w:id="1367020991">
          <w:marLeft w:val="0"/>
          <w:marRight w:val="0"/>
          <w:marTop w:val="0"/>
          <w:marBottom w:val="0"/>
          <w:divBdr>
            <w:top w:val="none" w:sz="0" w:space="0" w:color="auto"/>
            <w:left w:val="none" w:sz="0" w:space="0" w:color="auto"/>
            <w:bottom w:val="none" w:sz="0" w:space="0" w:color="auto"/>
            <w:right w:val="none" w:sz="0" w:space="0" w:color="auto"/>
          </w:divBdr>
        </w:div>
        <w:div w:id="1403721455">
          <w:marLeft w:val="0"/>
          <w:marRight w:val="0"/>
          <w:marTop w:val="0"/>
          <w:marBottom w:val="0"/>
          <w:divBdr>
            <w:top w:val="none" w:sz="0" w:space="0" w:color="auto"/>
            <w:left w:val="none" w:sz="0" w:space="0" w:color="auto"/>
            <w:bottom w:val="none" w:sz="0" w:space="0" w:color="auto"/>
            <w:right w:val="none" w:sz="0" w:space="0" w:color="auto"/>
          </w:divBdr>
        </w:div>
      </w:divsChild>
    </w:div>
    <w:div w:id="1487749239">
      <w:bodyDiv w:val="1"/>
      <w:marLeft w:val="0"/>
      <w:marRight w:val="0"/>
      <w:marTop w:val="0"/>
      <w:marBottom w:val="0"/>
      <w:divBdr>
        <w:top w:val="none" w:sz="0" w:space="0" w:color="auto"/>
        <w:left w:val="none" w:sz="0" w:space="0" w:color="auto"/>
        <w:bottom w:val="none" w:sz="0" w:space="0" w:color="auto"/>
        <w:right w:val="none" w:sz="0" w:space="0" w:color="auto"/>
      </w:divBdr>
      <w:divsChild>
        <w:div w:id="2085763777">
          <w:marLeft w:val="0"/>
          <w:marRight w:val="0"/>
          <w:marTop w:val="0"/>
          <w:marBottom w:val="0"/>
          <w:divBdr>
            <w:top w:val="none" w:sz="0" w:space="0" w:color="auto"/>
            <w:left w:val="none" w:sz="0" w:space="0" w:color="auto"/>
            <w:bottom w:val="none" w:sz="0" w:space="0" w:color="auto"/>
            <w:right w:val="none" w:sz="0" w:space="0" w:color="auto"/>
          </w:divBdr>
        </w:div>
        <w:div w:id="233202203">
          <w:marLeft w:val="0"/>
          <w:marRight w:val="0"/>
          <w:marTop w:val="0"/>
          <w:marBottom w:val="0"/>
          <w:divBdr>
            <w:top w:val="none" w:sz="0" w:space="0" w:color="auto"/>
            <w:left w:val="none" w:sz="0" w:space="0" w:color="auto"/>
            <w:bottom w:val="none" w:sz="0" w:space="0" w:color="auto"/>
            <w:right w:val="none" w:sz="0" w:space="0" w:color="auto"/>
          </w:divBdr>
        </w:div>
      </w:divsChild>
    </w:div>
    <w:div w:id="1556546803">
      <w:bodyDiv w:val="1"/>
      <w:marLeft w:val="0"/>
      <w:marRight w:val="0"/>
      <w:marTop w:val="0"/>
      <w:marBottom w:val="0"/>
      <w:divBdr>
        <w:top w:val="none" w:sz="0" w:space="0" w:color="auto"/>
        <w:left w:val="none" w:sz="0" w:space="0" w:color="auto"/>
        <w:bottom w:val="none" w:sz="0" w:space="0" w:color="auto"/>
        <w:right w:val="none" w:sz="0" w:space="0" w:color="auto"/>
      </w:divBdr>
      <w:divsChild>
        <w:div w:id="1512724133">
          <w:marLeft w:val="0"/>
          <w:marRight w:val="0"/>
          <w:marTop w:val="0"/>
          <w:marBottom w:val="0"/>
          <w:divBdr>
            <w:top w:val="none" w:sz="0" w:space="0" w:color="auto"/>
            <w:left w:val="none" w:sz="0" w:space="0" w:color="auto"/>
            <w:bottom w:val="none" w:sz="0" w:space="0" w:color="auto"/>
            <w:right w:val="none" w:sz="0" w:space="0" w:color="auto"/>
          </w:divBdr>
        </w:div>
        <w:div w:id="266279045">
          <w:marLeft w:val="0"/>
          <w:marRight w:val="0"/>
          <w:marTop w:val="0"/>
          <w:marBottom w:val="0"/>
          <w:divBdr>
            <w:top w:val="none" w:sz="0" w:space="0" w:color="auto"/>
            <w:left w:val="none" w:sz="0" w:space="0" w:color="auto"/>
            <w:bottom w:val="none" w:sz="0" w:space="0" w:color="auto"/>
            <w:right w:val="none" w:sz="0" w:space="0" w:color="auto"/>
          </w:divBdr>
        </w:div>
        <w:div w:id="705982044">
          <w:marLeft w:val="0"/>
          <w:marRight w:val="0"/>
          <w:marTop w:val="0"/>
          <w:marBottom w:val="0"/>
          <w:divBdr>
            <w:top w:val="none" w:sz="0" w:space="0" w:color="auto"/>
            <w:left w:val="none" w:sz="0" w:space="0" w:color="auto"/>
            <w:bottom w:val="none" w:sz="0" w:space="0" w:color="auto"/>
            <w:right w:val="none" w:sz="0" w:space="0" w:color="auto"/>
          </w:divBdr>
        </w:div>
      </w:divsChild>
    </w:div>
    <w:div w:id="1990792276">
      <w:bodyDiv w:val="1"/>
      <w:marLeft w:val="0"/>
      <w:marRight w:val="0"/>
      <w:marTop w:val="0"/>
      <w:marBottom w:val="0"/>
      <w:divBdr>
        <w:top w:val="none" w:sz="0" w:space="0" w:color="auto"/>
        <w:left w:val="none" w:sz="0" w:space="0" w:color="auto"/>
        <w:bottom w:val="none" w:sz="0" w:space="0" w:color="auto"/>
        <w:right w:val="none" w:sz="0" w:space="0" w:color="auto"/>
      </w:divBdr>
      <w:divsChild>
        <w:div w:id="1108546565">
          <w:marLeft w:val="0"/>
          <w:marRight w:val="0"/>
          <w:marTop w:val="0"/>
          <w:marBottom w:val="0"/>
          <w:divBdr>
            <w:top w:val="none" w:sz="0" w:space="0" w:color="auto"/>
            <w:left w:val="none" w:sz="0" w:space="0" w:color="auto"/>
            <w:bottom w:val="none" w:sz="0" w:space="0" w:color="auto"/>
            <w:right w:val="none" w:sz="0" w:space="0" w:color="auto"/>
          </w:divBdr>
          <w:divsChild>
            <w:div w:id="1191146945">
              <w:marLeft w:val="0"/>
              <w:marRight w:val="0"/>
              <w:marTop w:val="0"/>
              <w:marBottom w:val="0"/>
              <w:divBdr>
                <w:top w:val="none" w:sz="0" w:space="0" w:color="auto"/>
                <w:left w:val="none" w:sz="0" w:space="0" w:color="auto"/>
                <w:bottom w:val="none" w:sz="0" w:space="0" w:color="auto"/>
                <w:right w:val="none" w:sz="0" w:space="0" w:color="auto"/>
              </w:divBdr>
            </w:div>
          </w:divsChild>
        </w:div>
        <w:div w:id="737554870">
          <w:marLeft w:val="0"/>
          <w:marRight w:val="0"/>
          <w:marTop w:val="0"/>
          <w:marBottom w:val="0"/>
          <w:divBdr>
            <w:top w:val="none" w:sz="0" w:space="0" w:color="auto"/>
            <w:left w:val="none" w:sz="0" w:space="0" w:color="auto"/>
            <w:bottom w:val="none" w:sz="0" w:space="0" w:color="auto"/>
            <w:right w:val="none" w:sz="0" w:space="0" w:color="auto"/>
          </w:divBdr>
          <w:divsChild>
            <w:div w:id="416556024">
              <w:marLeft w:val="0"/>
              <w:marRight w:val="0"/>
              <w:marTop w:val="0"/>
              <w:marBottom w:val="0"/>
              <w:divBdr>
                <w:top w:val="none" w:sz="0" w:space="0" w:color="auto"/>
                <w:left w:val="none" w:sz="0" w:space="0" w:color="auto"/>
                <w:bottom w:val="none" w:sz="0" w:space="0" w:color="auto"/>
                <w:right w:val="none" w:sz="0" w:space="0" w:color="auto"/>
              </w:divBdr>
            </w:div>
          </w:divsChild>
        </w:div>
        <w:div w:id="1910454138">
          <w:marLeft w:val="0"/>
          <w:marRight w:val="0"/>
          <w:marTop w:val="0"/>
          <w:marBottom w:val="0"/>
          <w:divBdr>
            <w:top w:val="none" w:sz="0" w:space="0" w:color="auto"/>
            <w:left w:val="none" w:sz="0" w:space="0" w:color="auto"/>
            <w:bottom w:val="none" w:sz="0" w:space="0" w:color="auto"/>
            <w:right w:val="none" w:sz="0" w:space="0" w:color="auto"/>
          </w:divBdr>
          <w:divsChild>
            <w:div w:id="6520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5852a56-3c12-4128-ac63-56dcdc9aea81" xsi:nil="true"/>
    <lcf76f155ced4ddcb4097134ff3c332f xmlns="dbc82cc5-a08f-41a8-a7d3-80c6cf25b3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30C447CD81247AE5E4A8CC5148CF1" ma:contentTypeVersion="11" ma:contentTypeDescription="Create a new document." ma:contentTypeScope="" ma:versionID="18801d3bdd97829e16a9c5df458cca76">
  <xsd:schema xmlns:xsd="http://www.w3.org/2001/XMLSchema" xmlns:xs="http://www.w3.org/2001/XMLSchema" xmlns:p="http://schemas.microsoft.com/office/2006/metadata/properties" xmlns:ns2="dbc82cc5-a08f-41a8-a7d3-80c6cf25b3e4" xmlns:ns3="c5852a56-3c12-4128-ac63-56dcdc9aea81" targetNamespace="http://schemas.microsoft.com/office/2006/metadata/properties" ma:root="true" ma:fieldsID="98c02f766a0645b9f2e1f0514291637c" ns2:_="" ns3:_="">
    <xsd:import namespace="dbc82cc5-a08f-41a8-a7d3-80c6cf25b3e4"/>
    <xsd:import namespace="c5852a56-3c12-4128-ac63-56dcdc9aea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82cc5-a08f-41a8-a7d3-80c6cf25b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0fd21f-0249-496a-82b3-a0e4e58c26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52a56-3c12-4128-ac63-56dcdc9aea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c52ed-ab97-4298-80d7-a31e914054de}" ma:internalName="TaxCatchAll" ma:showField="CatchAllData" ma:web="c5852a56-3c12-4128-ac63-56dcdc9aea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FD67A-B435-4967-B37B-A2DE333377C0}">
  <ds:schemaRefs>
    <ds:schemaRef ds:uri="http://schemas.openxmlformats.org/officeDocument/2006/bibliography"/>
  </ds:schemaRefs>
</ds:datastoreItem>
</file>

<file path=customXml/itemProps2.xml><?xml version="1.0" encoding="utf-8"?>
<ds:datastoreItem xmlns:ds="http://schemas.openxmlformats.org/officeDocument/2006/customXml" ds:itemID="{53E3F12B-5C88-43E8-9DC2-857EF197BBF2}">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5852a56-3c12-4128-ac63-56dcdc9aea81"/>
    <ds:schemaRef ds:uri="dbc82cc5-a08f-41a8-a7d3-80c6cf25b3e4"/>
  </ds:schemaRefs>
</ds:datastoreItem>
</file>

<file path=customXml/itemProps3.xml><?xml version="1.0" encoding="utf-8"?>
<ds:datastoreItem xmlns:ds="http://schemas.openxmlformats.org/officeDocument/2006/customXml" ds:itemID="{FD72C36D-14BF-4C78-BEE2-60357183E97E}">
  <ds:schemaRefs>
    <ds:schemaRef ds:uri="http://schemas.microsoft.com/sharepoint/v3/contenttype/forms"/>
  </ds:schemaRefs>
</ds:datastoreItem>
</file>

<file path=customXml/itemProps4.xml><?xml version="1.0" encoding="utf-8"?>
<ds:datastoreItem xmlns:ds="http://schemas.openxmlformats.org/officeDocument/2006/customXml" ds:itemID="{C6A40EB4-E259-4BBD-87B7-7653DE0F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82cc5-a08f-41a8-a7d3-80c6cf25b3e4"/>
    <ds:schemaRef ds:uri="c5852a56-3c12-4128-ac63-56dcdc9ae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Hitchcock</dc:creator>
  <cp:keywords/>
  <dc:description/>
  <cp:lastModifiedBy>Jamie Tong</cp:lastModifiedBy>
  <cp:revision>61</cp:revision>
  <cp:lastPrinted>2023-05-09T04:01:00Z</cp:lastPrinted>
  <dcterms:created xsi:type="dcterms:W3CDTF">2023-05-09T02:33:00Z</dcterms:created>
  <dcterms:modified xsi:type="dcterms:W3CDTF">2023-06-02T01:31:00Z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0x010100D1930C447CD81247AE5E4A8CC5148CF1</vt:lpwstr>
  </property>
  <property fmtid="{D5CDD505-2E9C-101B-9397-08002B2CF9AE}" pid="3" name="MediaServiceImageTags">
    <vt:lpwstr/>
  </property>
</Properties>
</file>